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74681" w14:textId="3FF6940A" w:rsidR="00A21CFD" w:rsidRDefault="003524F8">
      <w:pPr>
        <w:spacing w:before="120" w:after="120"/>
        <w:rPr>
          <w:rFonts w:cs="Times New Roman"/>
        </w:rPr>
      </w:pPr>
      <w:r>
        <w:rPr>
          <w:rFonts w:cs="Times New Roman"/>
        </w:rPr>
        <w:t>Z</w:t>
      </w:r>
      <w:r w:rsidR="00C41DFA">
        <w:rPr>
          <w:rFonts w:cs="Times New Roman"/>
        </w:rPr>
        <w:t xml:space="preserve">ałącznik Nr 4 do Uchwały Nr ….../….../2025 Rady Miejskiej w Janowie Lubelskim z dnia ………… 2025 r. </w:t>
      </w:r>
    </w:p>
    <w:p w14:paraId="725EA455" w14:textId="77777777" w:rsidR="00250A48" w:rsidRDefault="00C41DFA">
      <w:pPr>
        <w:spacing w:after="120"/>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b/>
          <w:bCs/>
        </w:rPr>
        <w:t>Uzasadnienie</w:t>
      </w:r>
    </w:p>
    <w:p w14:paraId="33D338BB" w14:textId="77777777" w:rsidR="00250A48" w:rsidRDefault="00C41DFA">
      <w:pPr>
        <w:spacing w:before="120" w:after="120"/>
        <w:rPr>
          <w:rFonts w:cs="Times New Roman"/>
        </w:rPr>
      </w:pPr>
      <w:r>
        <w:rPr>
          <w:rFonts w:cs="Times New Roman"/>
        </w:rPr>
        <w:t>I. Przedmiot uchwały.</w:t>
      </w:r>
    </w:p>
    <w:p w14:paraId="49342E7B" w14:textId="77777777" w:rsidR="00250A48" w:rsidRDefault="00C41DFA">
      <w:pPr>
        <w:spacing w:before="120" w:after="120"/>
        <w:rPr>
          <w:rFonts w:cs="Times New Roman"/>
        </w:rPr>
      </w:pPr>
      <w:r>
        <w:rPr>
          <w:rFonts w:cs="Times New Roman"/>
        </w:rPr>
        <w:t xml:space="preserve">Uchwała dotyczy ustalenia lokalizacji inwestycji mieszkaniowej polegającej na budowie zespołu dziesięciu budynków mieszkalnych jednorodzinnych z niezbędną infrastrukturą techniczną oraz urządzeniem terenu na nieruchomości oznaczonej jako działka ewidencyjna nr 5879, położonej przy ul. Ochotników Węgierskich w Janowie Lubelskim. Wniosek w tej sprawie, zmodyfikowany w dniu 15 kwietnia 2025 r., złożył Pan Paweł </w:t>
      </w:r>
      <w:proofErr w:type="spellStart"/>
      <w:r>
        <w:rPr>
          <w:rFonts w:cs="Times New Roman"/>
        </w:rPr>
        <w:t>Świąder</w:t>
      </w:r>
      <w:proofErr w:type="spellEnd"/>
      <w:r>
        <w:rPr>
          <w:rFonts w:cs="Times New Roman"/>
          <w:color w:val="00B0F0"/>
        </w:rPr>
        <w:t xml:space="preserve"> </w:t>
      </w:r>
      <w:r>
        <w:rPr>
          <w:rFonts w:cs="Times New Roman"/>
        </w:rPr>
        <w:t>(dalej: „Inwestor”).</w:t>
      </w:r>
    </w:p>
    <w:p w14:paraId="71E808A3" w14:textId="77777777" w:rsidR="00250A48" w:rsidRDefault="00250A48">
      <w:pPr>
        <w:spacing w:before="130" w:after="130" w:line="240" w:lineRule="auto"/>
        <w:jc w:val="center"/>
        <w:rPr>
          <w:rFonts w:eastAsia="Helvetica" w:cs="Helvetica"/>
          <w:b/>
          <w:iCs/>
        </w:rPr>
      </w:pPr>
    </w:p>
    <w:p w14:paraId="6DA03AE4" w14:textId="77777777" w:rsidR="00250A48" w:rsidRDefault="00C41DFA">
      <w:pPr>
        <w:spacing w:before="120" w:after="120"/>
        <w:rPr>
          <w:rFonts w:cs="Times New Roman"/>
        </w:rPr>
      </w:pPr>
      <w:r>
        <w:rPr>
          <w:rFonts w:cs="Times New Roman"/>
        </w:rPr>
        <w:t xml:space="preserve">II. Opis inwestycji i jej zgodność z celami ustawy </w:t>
      </w:r>
      <w:r>
        <w:rPr>
          <w:rFonts w:cs="Times New Roman"/>
          <w:lang w:eastAsia="pl-PL"/>
        </w:rPr>
        <w:t>o ułatwieniach w przygotowaniu i realizacji inwestycji mieszkaniowych oraz inwestycji towarzyszących</w:t>
      </w:r>
      <w:r>
        <w:rPr>
          <w:rFonts w:cs="Times New Roman"/>
        </w:rPr>
        <w:t>, zwanej dalej Specustawą Mieszkaniową.</w:t>
      </w:r>
    </w:p>
    <w:p w14:paraId="37002966" w14:textId="77777777" w:rsidR="00250A48" w:rsidRDefault="00C41DFA">
      <w:pPr>
        <w:spacing w:before="120" w:after="120"/>
        <w:rPr>
          <w:rFonts w:cs="Times New Roman"/>
        </w:rPr>
      </w:pPr>
      <w:r>
        <w:rPr>
          <w:rFonts w:cs="Times New Roman"/>
        </w:rPr>
        <w:t>Planowana inwestycja obejmuje budowę dziesięciu budynków mieszkalnych jednorodzinnych (jednolokalowych, dwukondygnacyjnych, z garażami) wraz z drogą wewnętrzną, miejscami postojowymi oraz niezbędną infrastrukturą techniczną. Szczegółowe parametry inwestycji zostały określone w § 2 niniejszej uchwały i są zgodne ze Zmodyfikowaną Koncepcją Architektoniczno-Urbanistyczną (KWADRA architekci, Grudzień 2024 – Kwiecień 2025), stanowiącą załącznik do wniosku.</w:t>
      </w:r>
    </w:p>
    <w:p w14:paraId="1C410F8A" w14:textId="77777777" w:rsidR="00250A48" w:rsidRDefault="00C41DFA">
      <w:pPr>
        <w:spacing w:before="120" w:after="120"/>
        <w:rPr>
          <w:rFonts w:cs="Times New Roman"/>
        </w:rPr>
      </w:pPr>
      <w:r>
        <w:rPr>
          <w:rFonts w:cs="Times New Roman"/>
        </w:rPr>
        <w:t>Celem Specustawy Mieszkaniowej jest wspieranie zaspokajania potrzeb mieszkaniowych. Realizacja przedmiotowej inwestycji przyczyni się do zwiększenia oferty mieszkaniowej na terenie Janowa Lubelskiego, co jest zgodne z intencją ustawodawcy.</w:t>
      </w:r>
    </w:p>
    <w:p w14:paraId="06FDE0AD" w14:textId="77777777" w:rsidR="00250A48" w:rsidRDefault="00C41DFA">
      <w:pPr>
        <w:spacing w:before="120" w:after="120"/>
        <w:rPr>
          <w:rFonts w:cs="Times New Roman"/>
        </w:rPr>
      </w:pPr>
      <w:r>
        <w:rPr>
          <w:rFonts w:cs="Times New Roman"/>
        </w:rPr>
        <w:t>III. Zgodność ze Studium uwarunkowań i kierunków zagospodarowania przestrzennego Miasta i Gminy Janów Lubelski.</w:t>
      </w:r>
    </w:p>
    <w:p w14:paraId="54A10185" w14:textId="77777777" w:rsidR="00250A48" w:rsidRDefault="00C41DFA">
      <w:pPr>
        <w:spacing w:before="120" w:after="120"/>
        <w:rPr>
          <w:rFonts w:cs="Times New Roman"/>
        </w:rPr>
      </w:pPr>
      <w:r>
        <w:rPr>
          <w:rFonts w:cs="Times New Roman"/>
        </w:rPr>
        <w:t>Zgodnie z art. 5 ust. 3 Specustawy Mieszkaniowej, inwestycja mieszkaniowa może być realizowana pod warunkiem, że nie jest sprzeczna ze studium uwarunkowań i kierunków zagospodarowania przestrzennego gminy, z zastrzeżeniem art. 5 ust. 4 (ust. 4 w tym przypadku nie ma zastosowania, gdyż teren inwestycji nie jest położony na obszarach wymienionych w tym przepisie) i zgodnie z przepisem to dopiero rada gminy ma kompetencję do rozstrzygnięcia o sprzeczności lub niesprzeczności z ustaleniami Studium lokalizowanej inwestycji mieszkaniowej.</w:t>
      </w:r>
    </w:p>
    <w:p w14:paraId="3FC43FC1" w14:textId="77777777" w:rsidR="00250A48" w:rsidRDefault="00C41DFA">
      <w:pPr>
        <w:spacing w:before="120" w:after="120"/>
        <w:rPr>
          <w:rFonts w:cs="Times New Roman"/>
        </w:rPr>
      </w:pPr>
      <w:r>
        <w:rPr>
          <w:rFonts w:cs="Times New Roman"/>
        </w:rPr>
        <w:t xml:space="preserve">Studium Uwarunkowań i Kierunków Zagospodarowania Przestrzennego Miasta i Gminy Janów Lubelski, zatwierdzone Uchwałą Nr XLVII/303/2014 Rady Miejskiej w Janowie Lubelskim z dnia 25 września 2014 r. (dalej: „Studium”), w Rozdziale 5, pkt 3 lit. c) dotyczącym „Podstawowych zasad gospodarowania na obszarach systemu przyrodniczego </w:t>
      </w:r>
      <w:r>
        <w:rPr>
          <w:rFonts w:cs="Times New Roman"/>
        </w:rPr>
        <w:lastRenderedPageBreak/>
        <w:t>miasta wraz z powiązaniami”, wprowadza „zakaz lokalizacji nowej zabudowy kubaturowej w odległości mniejszej niż 15 m od linii brzegowej cieków i rowów melioracyjnych”.</w:t>
      </w:r>
    </w:p>
    <w:p w14:paraId="66CEB34A" w14:textId="7DA5DC22" w:rsidR="00250A48" w:rsidRDefault="00C41DFA">
      <w:pPr>
        <w:spacing w:before="120" w:after="120"/>
        <w:rPr>
          <w:rFonts w:cs="Times New Roman"/>
        </w:rPr>
      </w:pPr>
      <w:r>
        <w:rPr>
          <w:rFonts w:cs="Times New Roman"/>
        </w:rPr>
        <w:t xml:space="preserve">Przy wschodniej granicy działki nr 5879, na której planowana jest inwestycja, przebiega przeniesiony, </w:t>
      </w:r>
      <w:r>
        <w:rPr>
          <w:rFonts w:cs="Times New Roman"/>
          <w:color w:val="000000"/>
        </w:rPr>
        <w:t>niezalegalizowany na dzień podjęcia uchwały odcinek rowu melioracyjnego,</w:t>
      </w:r>
      <w:r>
        <w:rPr>
          <w:rFonts w:cs="Times New Roman"/>
        </w:rPr>
        <w:t xml:space="preserve"> który w pierwotnym przebiegu zakwalifikowano jako rów nr R-33 (oznaczony na mapach ewidencyjnych symbolem W – wody płynące). Zgodnie ze Zmodyfikowaną Koncepcją Architektoniczno-Urbanistyczną oraz Analizą stanu faktycznego i prawnego terenu (z dnia 17.04.2025 r.), niektóre z planowanych budynków (A5, A6, A7, A8, B2) są zlokalizowane </w:t>
      </w:r>
      <w:r w:rsidR="0077312E">
        <w:rPr>
          <w:rFonts w:cs="Times New Roman"/>
        </w:rPr>
        <w:br/>
      </w:r>
      <w:r>
        <w:rPr>
          <w:rFonts w:cs="Times New Roman"/>
        </w:rPr>
        <w:t>w odległości mniejszej niż 15 m od linii brzegu tego rowu (odpowiednio ok.: 5,1 m, 6,6 m, 10,6 m, 12 m, 6,7 m).</w:t>
      </w:r>
    </w:p>
    <w:p w14:paraId="22C11878" w14:textId="77777777" w:rsidR="00250A48" w:rsidRPr="00F97BEF" w:rsidRDefault="00C41DFA">
      <w:pPr>
        <w:spacing w:before="120" w:after="120"/>
        <w:rPr>
          <w:rFonts w:cs="Times New Roman"/>
        </w:rPr>
      </w:pPr>
      <w:r w:rsidRPr="00F97BEF">
        <w:rPr>
          <w:rFonts w:cs="Times New Roman"/>
        </w:rPr>
        <w:t>Na niezgodność lokalizacji inwestycji mieszkaniowej ze Studium zwróciła także uwagę Gminna Komisja Urbanistyczno-Architektoniczna w Janowie Lubelskim. Swoje stanowisko zawarła w negatywnej opinii z dnia 19 lutego 2025 r. (znak: GKAU.0020.1.2025), doprecyzowanej w protokole z posiedzenia Komisji. W związku z modyfikacją wniosku przez Inwestora, Komisja pismem z dnia 07 maja 2025 r., podtrzymała treść opinii i protokołu z 19 lutego 2025 r.</w:t>
      </w:r>
    </w:p>
    <w:p w14:paraId="64D46D5D" w14:textId="77777777" w:rsidR="00250A48" w:rsidRDefault="00C41DFA">
      <w:pPr>
        <w:spacing w:before="120" w:after="120"/>
        <w:rPr>
          <w:rFonts w:cs="Times New Roman"/>
        </w:rPr>
      </w:pPr>
      <w:r>
        <w:rPr>
          <w:rFonts w:cs="Times New Roman"/>
        </w:rPr>
        <w:t>Rada Miejska w Janowie Lubelskim, jako organ stanowiący gminy, posiada kompetencje do oceny i rozstrzygania w kwestii niesprzeczności planowanej inwestycji z ustaleniami Studium w kontekście przepisów Specustawy Mieszkaniowej. Ustawa ta wprowadza szczególny tryb lokalizacji inwestycji mieszkaniowych, mający na celu usprawnienie procesu inwestycyjnego. Interpretacja pojęcia „sprzeczności ze studium” w tym trybie powinna uwzględniać nie tylko literalne brzmienie zapisów Studium, ale także cel Specustawy Mieszkaniowej oraz specyfikę danej inwestycji i uwarunkowania lokalne.</w:t>
      </w:r>
    </w:p>
    <w:p w14:paraId="44746459" w14:textId="77777777" w:rsidR="00250A48" w:rsidRDefault="00C41DFA">
      <w:pPr>
        <w:spacing w:before="120" w:after="120"/>
        <w:rPr>
          <w:rFonts w:cs="Times New Roman"/>
        </w:rPr>
      </w:pPr>
      <w:r>
        <w:rPr>
          <w:rFonts w:cs="Times New Roman"/>
        </w:rPr>
        <w:t>Po dokonaniu wszechstronnej analizy, Rada Miejska uznała, że w niniejszym postępowaniu możliwe jest odstąpienie od rygorystycznego przestrzegania zapisu Studium dotyczącego 15-metrowej odległości zabudowy od rowu, z następujących powodów:</w:t>
      </w:r>
    </w:p>
    <w:p w14:paraId="403A82D3" w14:textId="77777777" w:rsidR="00250A48" w:rsidRDefault="00C41DFA">
      <w:pPr>
        <w:pStyle w:val="Akapitzlist"/>
        <w:numPr>
          <w:ilvl w:val="0"/>
          <w:numId w:val="13"/>
        </w:numPr>
        <w:spacing w:before="120" w:after="120"/>
        <w:contextualSpacing w:val="0"/>
      </w:pPr>
      <w:r>
        <w:t>Interes publiczny: Zaspokojenie potrzeb mieszkaniowych mieszkańców gminy stanowi ważny interes publiczny. Realizacja planowanej inwestycji przyczyni się do jego realizacji. W ocenie Rady, korzyści płynące z powstania nowych budynków mieszkalnych, przy jednoczesnym zastosowaniu środków minimalizujących wpływ na środowisko, przeważają nad potencjalnymi niedogodnościami wynikającymi z częściowego odstępstwa od literalnego zapisu Studium.</w:t>
      </w:r>
    </w:p>
    <w:p w14:paraId="1FB99FFD" w14:textId="77777777" w:rsidR="00250A48" w:rsidRDefault="00C41DFA">
      <w:pPr>
        <w:pStyle w:val="Akapitzlist"/>
        <w:numPr>
          <w:ilvl w:val="0"/>
          <w:numId w:val="13"/>
        </w:numPr>
        <w:spacing w:before="120" w:after="120"/>
        <w:contextualSpacing w:val="0"/>
      </w:pPr>
      <w:r>
        <w:t>Kompetencje Rady Miejskiej: To Rada Miejska, jako organ uchwalający Studium, jest również uprawniona do jego interpretacji w kontekście zmieniających się uwarunkowań i szczególnych regulacji prawnych, takich jak Specustawa Mieszkaniowa. Rada Miejska uznaje, że w tym konkretnym przypadku, cel Specustawy Mieszkaniowej oraz możliwość zastosowania rozwiązań kompensacyjnych uzasadniają ustalenie lokalizacji inwestycji pomimo wskazanej wyżej rozbieżności z jednym z zapisów Studium.</w:t>
      </w:r>
    </w:p>
    <w:p w14:paraId="2F3B5D64" w14:textId="77777777" w:rsidR="00250A48" w:rsidRDefault="00C41DFA">
      <w:pPr>
        <w:keepNext/>
        <w:spacing w:before="120" w:after="120"/>
        <w:rPr>
          <w:rFonts w:cs="Times New Roman"/>
        </w:rPr>
      </w:pPr>
      <w:r>
        <w:rPr>
          <w:rFonts w:cs="Times New Roman"/>
        </w:rPr>
        <w:lastRenderedPageBreak/>
        <w:t>IV. Odniesienie do opinii Gminnej Komisji Urbanistyczno-Architektonicznej (GKUA).</w:t>
      </w:r>
    </w:p>
    <w:p w14:paraId="137A8CD0" w14:textId="77777777" w:rsidR="00250A48" w:rsidRDefault="00C41DFA">
      <w:pPr>
        <w:spacing w:before="120" w:after="120"/>
        <w:rPr>
          <w:rFonts w:cs="Times New Roman"/>
        </w:rPr>
      </w:pPr>
      <w:r>
        <w:rPr>
          <w:rFonts w:cs="Times New Roman"/>
        </w:rPr>
        <w:t xml:space="preserve">Gminna Komisja Urbanistyczno-Architektoniczna w opinii z dnia 19 lutego 2025 r. wydała opinię negatywną, podtrzymując ją pismem z dnia 07 maja 2025 r., wskazując między innymi na następujące główne zastrzeżenia: </w:t>
      </w:r>
    </w:p>
    <w:p w14:paraId="5F78C5FA" w14:textId="77777777" w:rsidR="00250A48" w:rsidRDefault="00C41DFA">
      <w:pPr>
        <w:pStyle w:val="Akapitzlist"/>
        <w:numPr>
          <w:ilvl w:val="0"/>
          <w:numId w:val="10"/>
        </w:numPr>
        <w:spacing w:before="120" w:after="120"/>
        <w:ind w:left="714" w:hanging="357"/>
        <w:contextualSpacing w:val="0"/>
        <w:rPr>
          <w:rFonts w:cstheme="minorHAnsi"/>
        </w:rPr>
      </w:pPr>
      <w:r>
        <w:rPr>
          <w:rFonts w:cstheme="minorHAnsi"/>
        </w:rPr>
        <w:t xml:space="preserve">Zgodę na ustalenie lokalizacji inwestycji mieszkaniowej należy uzależnić od ostatecznego rozstrzygnięcia przez Państwowe Gospodarstwo Wodne Wody Polskie sprawy zmiany przebiegu rowu melioracyjnego dokonanego przez inwestora. Jak stwierdzono w protokole z posiedzenia komisji „… i dopóki nie jest ostatecznie zakończone, to nie jest przesądzone, czy przebieg rowu pozostanie na obrzeżu terenu jak to zakłada Koncepcja zabudowy, czy też będzie nakazane przywrócenie poprzedniego przebiegu. W obecnym stanie, dopóki rów nie jest zalegalizowany zabudowa jest projektowana na rowie. Wydanie pozwolenia na budowę nie będzie możliwe bez decyzji ostatecznej o pozwoleniu wodnoprawnym Wód Polskich. </w:t>
      </w:r>
    </w:p>
    <w:p w14:paraId="374FED6D" w14:textId="77777777" w:rsidR="00250A48" w:rsidRDefault="00C41DFA">
      <w:pPr>
        <w:spacing w:before="120" w:after="120"/>
        <w:ind w:left="709"/>
        <w:rPr>
          <w:rFonts w:cstheme="minorHAnsi"/>
        </w:rPr>
      </w:pPr>
      <w:r>
        <w:rPr>
          <w:rFonts w:cstheme="minorHAnsi"/>
        </w:rPr>
        <w:t>Zgodzono się zatem, iż zgoda na lokalizację zabudowy na tym terenie jest problematyczna i bez ostatecznego wyjaśnienia kwestii legalizacji zmiany przebiegu rowu melioracyjnego inwestycja nie może być dopuszczona.”.</w:t>
      </w:r>
    </w:p>
    <w:p w14:paraId="10542DC4" w14:textId="77777777" w:rsidR="00250A48" w:rsidRDefault="00C41DFA">
      <w:pPr>
        <w:pStyle w:val="Akapitzlist"/>
        <w:numPr>
          <w:ilvl w:val="0"/>
          <w:numId w:val="10"/>
        </w:numPr>
        <w:spacing w:before="120" w:after="120"/>
        <w:ind w:left="714" w:hanging="357"/>
        <w:contextualSpacing w:val="0"/>
        <w:rPr>
          <w:rFonts w:cstheme="minorHAnsi"/>
        </w:rPr>
      </w:pPr>
      <w:r>
        <w:rPr>
          <w:rFonts w:cstheme="minorHAnsi"/>
        </w:rPr>
        <w:t>Lokalizacja budynków ze ścianą z oknami na granicy z działkami sąsiednimi i konieczność zachowania min. 4 m odległości.</w:t>
      </w:r>
    </w:p>
    <w:p w14:paraId="086C7067" w14:textId="77777777" w:rsidR="00250A48" w:rsidRDefault="00C41DFA">
      <w:pPr>
        <w:pStyle w:val="Akapitzlist"/>
        <w:numPr>
          <w:ilvl w:val="0"/>
          <w:numId w:val="10"/>
        </w:numPr>
        <w:spacing w:before="120" w:after="120"/>
        <w:ind w:left="714" w:hanging="357"/>
        <w:contextualSpacing w:val="0"/>
        <w:rPr>
          <w:rFonts w:cstheme="minorHAnsi"/>
        </w:rPr>
      </w:pPr>
      <w:r>
        <w:rPr>
          <w:rFonts w:cstheme="minorHAnsi"/>
        </w:rPr>
        <w:t>Niezgodność ze Studium.</w:t>
      </w:r>
    </w:p>
    <w:p w14:paraId="4320DBBC" w14:textId="77777777" w:rsidR="00250A48" w:rsidRDefault="00C41DFA">
      <w:pPr>
        <w:pStyle w:val="Akapitzlist"/>
        <w:numPr>
          <w:ilvl w:val="0"/>
          <w:numId w:val="10"/>
        </w:numPr>
        <w:spacing w:before="120" w:after="120"/>
        <w:ind w:left="714" w:hanging="357"/>
        <w:contextualSpacing w:val="0"/>
        <w:rPr>
          <w:rFonts w:cstheme="minorHAnsi"/>
        </w:rPr>
      </w:pPr>
      <w:r>
        <w:rPr>
          <w:rFonts w:cstheme="minorHAnsi"/>
        </w:rPr>
        <w:t>Konieczność cofnięcia zabudowy od ul. Ochotników Węgierskich do min. 4,8 m (Inwestor proponował 4,3 m).</w:t>
      </w:r>
    </w:p>
    <w:p w14:paraId="5E9A9D9A" w14:textId="46337FFB" w:rsidR="00250A48" w:rsidRPr="002214A1" w:rsidRDefault="00C41DFA">
      <w:pPr>
        <w:spacing w:before="120" w:after="120"/>
        <w:rPr>
          <w:rFonts w:cs="Times New Roman"/>
        </w:rPr>
      </w:pPr>
      <w:r>
        <w:rPr>
          <w:rFonts w:cs="Times New Roman"/>
        </w:rPr>
        <w:t>Ad. 1</w:t>
      </w:r>
      <w:r>
        <w:rPr>
          <w:rFonts w:cs="Times New Roman"/>
          <w:color w:val="EE0000"/>
        </w:rPr>
        <w:t xml:space="preserve">. </w:t>
      </w:r>
      <w:r>
        <w:rPr>
          <w:rFonts w:cs="Times New Roman"/>
        </w:rPr>
        <w:t xml:space="preserve">Do dnia podjęcia uchwały Inwestor nie przedłożył pozwolenia wodnoprawnego legalizującego przeniesienia rowu, dlatego też uchwała w </w:t>
      </w:r>
      <w:r>
        <w:rPr>
          <w:rFonts w:cs="Times New Roman"/>
          <w:lang w:eastAsia="pl-PL"/>
        </w:rPr>
        <w:t xml:space="preserve">§ 2 ust. 12 </w:t>
      </w:r>
      <w:r w:rsidRPr="00172D52">
        <w:rPr>
          <w:rFonts w:cs="Times New Roman"/>
          <w:lang w:eastAsia="pl-PL"/>
        </w:rPr>
        <w:t>zawiera</w:t>
      </w:r>
      <w:r>
        <w:rPr>
          <w:rFonts w:cs="Times New Roman"/>
          <w:lang w:eastAsia="pl-PL"/>
        </w:rPr>
        <w:t xml:space="preserve"> warunek możliwości realizacji inwestycji mieszkaniowej </w:t>
      </w:r>
      <w:r w:rsidRPr="00172D52">
        <w:rPr>
          <w:rFonts w:cs="Times New Roman"/>
          <w:lang w:eastAsia="pl-PL"/>
        </w:rPr>
        <w:t>po</w:t>
      </w:r>
      <w:r>
        <w:rPr>
          <w:rFonts w:cs="Times New Roman"/>
          <w:lang w:eastAsia="pl-PL"/>
        </w:rPr>
        <w:t xml:space="preserve"> legalizacji przeniesienia przedmiotowego rowu.</w:t>
      </w:r>
      <w:r>
        <w:t xml:space="preserve"> </w:t>
      </w:r>
      <w:r w:rsidRPr="004B7CD7">
        <w:t xml:space="preserve">Dlatego też w § 2 ust. 12 niniejszej uchwały </w:t>
      </w:r>
      <w:r w:rsidRPr="004B7CD7">
        <w:rPr>
          <w:rFonts w:cs="Times New Roman"/>
          <w:lang w:eastAsia="pl-PL"/>
        </w:rPr>
        <w:t xml:space="preserve">ustalono warunek realizacji inwestycji dopiero po </w:t>
      </w:r>
      <w:r w:rsidRPr="004B7CD7">
        <w:rPr>
          <w:rFonts w:cs="Times New Roman"/>
        </w:rPr>
        <w:t xml:space="preserve">doprowadzeniu „nowego odcinka rowu z likwidacją starego”, do zgodności </w:t>
      </w:r>
      <w:r w:rsidR="00172D52" w:rsidRPr="004B7CD7">
        <w:rPr>
          <w:rFonts w:cs="Times New Roman"/>
        </w:rPr>
        <w:br/>
      </w:r>
      <w:r w:rsidRPr="004B7CD7">
        <w:rPr>
          <w:rFonts w:cs="Times New Roman"/>
        </w:rPr>
        <w:t xml:space="preserve">z wydaną decyzją o warunkach zabudowy z dnia 2024-10-18 </w:t>
      </w:r>
      <w:proofErr w:type="spellStart"/>
      <w:r w:rsidR="00060942" w:rsidRPr="004B7CD7">
        <w:rPr>
          <w:rFonts w:cs="Times New Roman"/>
        </w:rPr>
        <w:t>sygn</w:t>
      </w:r>
      <w:proofErr w:type="spellEnd"/>
      <w:r w:rsidR="002214A1" w:rsidRPr="004B7CD7">
        <w:rPr>
          <w:rFonts w:cs="Times New Roman"/>
        </w:rPr>
        <w:t>:</w:t>
      </w:r>
      <w:r w:rsidRPr="004B7CD7">
        <w:rPr>
          <w:rFonts w:cs="Times New Roman"/>
        </w:rPr>
        <w:t xml:space="preserve"> AN.6730.1.2024.KZ5 i</w:t>
      </w:r>
      <w:r w:rsidR="002214A1" w:rsidRPr="004B7CD7">
        <w:rPr>
          <w:rFonts w:cs="Times New Roman"/>
        </w:rPr>
        <w:t> </w:t>
      </w:r>
      <w:r w:rsidRPr="004B7CD7">
        <w:rPr>
          <w:rFonts w:cs="Times New Roman"/>
        </w:rPr>
        <w:t>uzyskaniem pozwolenia wodnoprawnego</w:t>
      </w:r>
      <w:r w:rsidR="002214A1" w:rsidRPr="004B7CD7">
        <w:t xml:space="preserve"> </w:t>
      </w:r>
      <w:r w:rsidR="002214A1" w:rsidRPr="004B7CD7">
        <w:rPr>
          <w:rFonts w:cs="Times New Roman"/>
        </w:rPr>
        <w:t>w celu legalizacji wykonanego odcinek rowu z likwidacją starego i likwidacją przepustu;</w:t>
      </w:r>
    </w:p>
    <w:p w14:paraId="5E8039FF" w14:textId="77777777" w:rsidR="00250A48" w:rsidRDefault="00C41DFA">
      <w:pPr>
        <w:spacing w:before="120" w:after="120"/>
        <w:rPr>
          <w:rFonts w:cs="Times New Roman"/>
        </w:rPr>
      </w:pPr>
      <w:r>
        <w:rPr>
          <w:rFonts w:cs="Times New Roman"/>
        </w:rPr>
        <w:t>Ad 2. Inwestor w Zmodyfikowanej Koncepcji Architektoniczno-Urbanistycznej (Grudzień 2024 – Kwiecień 2025) dostosował projekt, deklarując zachowanie minimalnych odległości 4,0 m dla ścian z otworami okiennymi lub drzwiowymi oraz 3,0 m dla ścian bez otworów od granic działek sąsiednich, co jest zgodne z przepisami Prawa budowlanego i uwzględnia uwagę GKUA.</w:t>
      </w:r>
    </w:p>
    <w:p w14:paraId="783DE458" w14:textId="77777777" w:rsidR="00250A48" w:rsidRDefault="00C41DFA">
      <w:pPr>
        <w:spacing w:before="120" w:after="120"/>
        <w:rPr>
          <w:rFonts w:cs="Times New Roman"/>
          <w:highlight w:val="lightGray"/>
        </w:rPr>
      </w:pPr>
      <w:r>
        <w:rPr>
          <w:rFonts w:cs="Times New Roman"/>
        </w:rPr>
        <w:t>Ad. 3. Rada Miejska ustaliła możliwość lokalizacji inwestycji na przedstawionym w Studium rowie jak i w mniejszej odległości od rowu niż wskazane w Studium, przy jednoczesnym nałożeniu na Inwestora obowiązku minimalizacji wpływu.</w:t>
      </w:r>
    </w:p>
    <w:p w14:paraId="796DF5B5" w14:textId="77777777" w:rsidR="00250A48" w:rsidRDefault="00C41DFA">
      <w:pPr>
        <w:spacing w:before="120" w:after="120"/>
        <w:rPr>
          <w:rFonts w:cs="Times New Roman"/>
        </w:rPr>
      </w:pPr>
      <w:r>
        <w:rPr>
          <w:rFonts w:cs="Times New Roman"/>
        </w:rPr>
        <w:t>Ad. 4. Inwestor w Zmodyfikowanej Koncepcji Architektoniczno-Urbanistycznej dostosował nieprzekraczalną linię zabudowy w odległości 4,8 m od granicy działki drogowej (ul. Ochotników Węgierskich).</w:t>
      </w:r>
    </w:p>
    <w:p w14:paraId="0A7816C5" w14:textId="77777777" w:rsidR="00250A48" w:rsidRDefault="00C41DFA">
      <w:pPr>
        <w:spacing w:before="120" w:after="120"/>
        <w:rPr>
          <w:rFonts w:cs="Times New Roman"/>
        </w:rPr>
      </w:pPr>
      <w:r>
        <w:rPr>
          <w:rFonts w:cs="Times New Roman"/>
        </w:rPr>
        <w:t>V. Odniesienie do uwag i zastrzeżeń stron.</w:t>
      </w:r>
    </w:p>
    <w:p w14:paraId="3C0E3A57" w14:textId="77777777" w:rsidR="00250A48" w:rsidRDefault="00C41DFA">
      <w:pPr>
        <w:spacing w:before="120" w:after="120"/>
        <w:rPr>
          <w:rFonts w:cs="Times New Roman"/>
        </w:rPr>
      </w:pPr>
      <w:r>
        <w:rPr>
          <w:rFonts w:cs="Times New Roman"/>
        </w:rPr>
        <w:t xml:space="preserve">Do Urzędu Miejskiego wpłynęły uwagi i zastrzeżenia od właścicieli działek sąsiadujących z terenem inwestycji (pisma z dnia 26.02.2025 r. i 28.02.2025 r.). </w:t>
      </w:r>
    </w:p>
    <w:p w14:paraId="08E0ECFB" w14:textId="77777777" w:rsidR="00250A48" w:rsidRDefault="00C41DFA">
      <w:pPr>
        <w:spacing w:before="120" w:after="120"/>
        <w:rPr>
          <w:rFonts w:cs="Times New Roman"/>
        </w:rPr>
      </w:pPr>
      <w:r>
        <w:rPr>
          <w:rFonts w:cs="Times New Roman"/>
        </w:rPr>
        <w:t>Główne zarzuty, uwagi i wnioski dotyczyły:</w:t>
      </w:r>
    </w:p>
    <w:p w14:paraId="37F016B3" w14:textId="77777777" w:rsidR="00250A48" w:rsidRDefault="00C41DFA">
      <w:pPr>
        <w:pStyle w:val="Akapitzlist"/>
        <w:numPr>
          <w:ilvl w:val="0"/>
          <w:numId w:val="12"/>
        </w:numPr>
        <w:spacing w:before="120" w:after="120"/>
        <w:contextualSpacing w:val="0"/>
      </w:pPr>
      <w:r>
        <w:t>Naruszenia stosunków wodnych poprzez utworzenie skarpy i zmianę spływu wód opadowych.</w:t>
      </w:r>
    </w:p>
    <w:p w14:paraId="10A3AFBD" w14:textId="77777777" w:rsidR="00250A48" w:rsidRDefault="00C41DFA">
      <w:pPr>
        <w:pStyle w:val="Akapitzlist"/>
        <w:numPr>
          <w:ilvl w:val="0"/>
          <w:numId w:val="12"/>
        </w:numPr>
        <w:spacing w:before="120" w:after="120"/>
        <w:contextualSpacing w:val="0"/>
      </w:pPr>
      <w:r>
        <w:t xml:space="preserve">Naruszenia granic działek poprzez nawiezienie gruzu, kamieni i ziemi. </w:t>
      </w:r>
    </w:p>
    <w:p w14:paraId="7299AFE9" w14:textId="77777777" w:rsidR="00250A48" w:rsidRDefault="00C41DFA">
      <w:pPr>
        <w:pStyle w:val="Akapitzlist"/>
        <w:numPr>
          <w:ilvl w:val="0"/>
          <w:numId w:val="12"/>
        </w:numPr>
        <w:spacing w:before="120" w:after="120"/>
        <w:contextualSpacing w:val="0"/>
      </w:pPr>
      <w:r>
        <w:t>Samowolnego przekopania rowu granicznego i wykorzystania odpadów budowlanych.</w:t>
      </w:r>
    </w:p>
    <w:p w14:paraId="0CFE7E13" w14:textId="77777777" w:rsidR="00250A48" w:rsidRDefault="00C41DFA">
      <w:pPr>
        <w:pStyle w:val="Akapitzlist"/>
        <w:numPr>
          <w:ilvl w:val="0"/>
          <w:numId w:val="12"/>
        </w:numPr>
        <w:spacing w:before="120" w:after="120"/>
        <w:contextualSpacing w:val="0"/>
      </w:pPr>
      <w:r>
        <w:t>Przeniesienia części rowu melioracyjnego na działkę sąsiednią.</w:t>
      </w:r>
    </w:p>
    <w:p w14:paraId="1A375F45" w14:textId="77777777" w:rsidR="00250A48" w:rsidRDefault="00C41DFA">
      <w:pPr>
        <w:pStyle w:val="Akapitzlist"/>
        <w:numPr>
          <w:ilvl w:val="0"/>
          <w:numId w:val="12"/>
        </w:numPr>
        <w:spacing w:before="120" w:after="120"/>
        <w:contextualSpacing w:val="0"/>
      </w:pPr>
      <w:r>
        <w:t>Żądanie przywrócenia rowu odwadniającego jako granicznego.</w:t>
      </w:r>
    </w:p>
    <w:p w14:paraId="594E8EAA" w14:textId="77777777" w:rsidR="00250A48" w:rsidRDefault="00C41DFA">
      <w:pPr>
        <w:pStyle w:val="Akapitzlist"/>
        <w:numPr>
          <w:ilvl w:val="0"/>
          <w:numId w:val="12"/>
        </w:numPr>
        <w:spacing w:before="120" w:after="120"/>
        <w:contextualSpacing w:val="0"/>
      </w:pPr>
      <w:r>
        <w:t xml:space="preserve">Żądanie przywrócenia zlikwidowanego przepustu i przejazdu uniemożliwiającego obsługę komunikacyjną działki sąsiedniej. </w:t>
      </w:r>
    </w:p>
    <w:p w14:paraId="35C3FD3B" w14:textId="77777777" w:rsidR="00250A48" w:rsidRDefault="00C41DFA">
      <w:pPr>
        <w:spacing w:before="120" w:after="120"/>
        <w:rPr>
          <w:rFonts w:cs="Times New Roman"/>
        </w:rPr>
      </w:pPr>
      <w:r>
        <w:rPr>
          <w:rFonts w:cs="Times New Roman"/>
        </w:rPr>
        <w:t xml:space="preserve">Odnosząc się do powyższych zarzutów, Rada Miejska wskazuje: </w:t>
      </w:r>
    </w:p>
    <w:p w14:paraId="3AD6825F" w14:textId="77777777" w:rsidR="00250A48" w:rsidRDefault="00C41DFA">
      <w:pPr>
        <w:pStyle w:val="Akapitzlist"/>
        <w:numPr>
          <w:ilvl w:val="0"/>
          <w:numId w:val="11"/>
        </w:numPr>
        <w:spacing w:before="120" w:after="120"/>
        <w:contextualSpacing w:val="0"/>
        <w:rPr>
          <w:rFonts w:cs="Times New Roman"/>
        </w:rPr>
      </w:pPr>
      <w:r>
        <w:rPr>
          <w:rFonts w:cs="Times New Roman"/>
        </w:rPr>
        <w:t>Kwestie dotyczące naruszenia granic, przeniesienia rowy na działkę sąsiednią, zlikwidowania przejazdu na działkę sąsiednią, zmianę sposobu zagospodarowania terenu przez Inwestora przed uzyskaniem pozwoleń (np. nawiezienie ziemi, zmiana przebiegu rowu) mają charakter cywilnoprawny lub mogą podlegać ocenie przez inne organy. Niniejsza uchwała ustala jedynie możliwość lokalizacji inwestycji mieszkaniowej i nie legalizuje automatycznie wcześniejszych działań Inwestora. Właściciele działek sąsiednich mają prawo dochodzić swoich roszczeń na drodze odpowiednich postępowań.</w:t>
      </w:r>
    </w:p>
    <w:p w14:paraId="52544A5B" w14:textId="77777777" w:rsidR="00250A48" w:rsidRDefault="00C41DFA">
      <w:pPr>
        <w:pStyle w:val="Akapitzlist"/>
        <w:numPr>
          <w:ilvl w:val="0"/>
          <w:numId w:val="11"/>
        </w:numPr>
        <w:spacing w:before="120" w:after="120"/>
        <w:contextualSpacing w:val="0"/>
        <w:rPr>
          <w:rFonts w:cs="Times New Roman"/>
        </w:rPr>
      </w:pPr>
      <w:r>
        <w:rPr>
          <w:rFonts w:cs="Times New Roman"/>
        </w:rPr>
        <w:t>Kwestia stosunków wodnych i odprowadzenia wód opadowych będzie szczegółowo analizowana na etapie pozwolenia na budowę. Inwestor będzie zobowiązany do zaprojektowania i wykonania systemu odprowadzania wód w sposób zgodny z przepisami i nienaruszający praw osób trzecich.</w:t>
      </w:r>
    </w:p>
    <w:p w14:paraId="06B568B8" w14:textId="77777777" w:rsidR="00250A48" w:rsidRDefault="00C41DFA">
      <w:pPr>
        <w:pStyle w:val="Akapitzlist"/>
        <w:numPr>
          <w:ilvl w:val="0"/>
          <w:numId w:val="11"/>
        </w:numPr>
        <w:spacing w:before="120" w:after="120"/>
        <w:contextualSpacing w:val="0"/>
        <w:rPr>
          <w:rFonts w:cs="Times New Roman"/>
        </w:rPr>
      </w:pPr>
      <w:r>
        <w:rPr>
          <w:rFonts w:cs="Times New Roman"/>
        </w:rPr>
        <w:t>Obawy dotyczące zmiany charakteru okolicy i wpływu na bioróżnorodność są naturalne przy procesach urbanizacyjnych. Inwestycja realizowana jest jednak w trybie Specustawy Mieszkaniowej, której celem jest m.in. intensyfikacja zabudowy mieszkaniowej. Niemniej, w uchwale nałożono wymóg zachowania minimum 40 % powierzchni biologicznie czynnej oraz poszanowania dla otuliny Parku Krajobrazowego.</w:t>
      </w:r>
    </w:p>
    <w:p w14:paraId="787EFE48" w14:textId="77777777" w:rsidR="00250A48" w:rsidRDefault="00C41DFA">
      <w:pPr>
        <w:pStyle w:val="Akapitzlist"/>
        <w:numPr>
          <w:ilvl w:val="0"/>
          <w:numId w:val="11"/>
        </w:numPr>
        <w:spacing w:before="120" w:after="120"/>
        <w:contextualSpacing w:val="0"/>
        <w:rPr>
          <w:rFonts w:cs="Times New Roman"/>
        </w:rPr>
      </w:pPr>
      <w:r>
        <w:rPr>
          <w:rFonts w:cs="Times New Roman"/>
        </w:rPr>
        <w:t>Rada Miejska podkreśla, że uchwała o ustaleniu lokalizacji inwestycji mieszkaniowej określa ramowe warunki jej realizacji. Szczegółowe rozwiązania projektowe, w tym te dotyczące ochrony interesów osób trzecich, będą przedmiotem weryfikacji na etapie postępowania o wydanie decyzji o pozwoleniu na budowę.</w:t>
      </w:r>
    </w:p>
    <w:p w14:paraId="3AEE0D23" w14:textId="77777777" w:rsidR="00250A48" w:rsidRDefault="00C41DFA">
      <w:pPr>
        <w:spacing w:before="120" w:after="120"/>
        <w:rPr>
          <w:rFonts w:cs="Times New Roman"/>
        </w:rPr>
      </w:pPr>
      <w:r>
        <w:rPr>
          <w:rFonts w:cs="Times New Roman"/>
        </w:rPr>
        <w:t>VI. Zakres w jakim stopniu planowana Inwestycja nie uwzględnia ustaleń miejscowego planu zagospodarowania przestrzennego.</w:t>
      </w:r>
    </w:p>
    <w:p w14:paraId="597AD0A7" w14:textId="77777777" w:rsidR="00250A48" w:rsidRDefault="00C41DFA">
      <w:pPr>
        <w:spacing w:before="120" w:after="120"/>
        <w:rPr>
          <w:rFonts w:cs="Times New Roman"/>
        </w:rPr>
      </w:pPr>
      <w:r>
        <w:rPr>
          <w:rFonts w:cs="Times New Roman"/>
        </w:rPr>
        <w:t>Należy zauważyć, że Inwestor zarówno w koncepcji jak i we wniosku nie przeanalizował i nie wskazał wszystkich ustaleń planu miejscowego, których wnioskowania inwestycja mieszkaniowa nie uwzględnia.</w:t>
      </w:r>
    </w:p>
    <w:p w14:paraId="57A387CF" w14:textId="77777777" w:rsidR="00250A48" w:rsidRDefault="00C41DFA">
      <w:pPr>
        <w:spacing w:before="120" w:after="120"/>
        <w:rPr>
          <w:rFonts w:cs="Times New Roman"/>
        </w:rPr>
      </w:pPr>
      <w:r>
        <w:rPr>
          <w:rFonts w:cs="Times New Roman"/>
        </w:rPr>
        <w:t>Rada Miejska podejmując uchwałę zważyła na poniższe ustalenia.</w:t>
      </w:r>
    </w:p>
    <w:p w14:paraId="379DF4AE" w14:textId="77777777" w:rsidR="00250A48" w:rsidRDefault="00C41DFA">
      <w:pPr>
        <w:spacing w:before="120" w:after="120"/>
        <w:rPr>
          <w:rFonts w:cs="Times New Roman"/>
        </w:rPr>
      </w:pPr>
      <w:r>
        <w:rPr>
          <w:rFonts w:cs="Times New Roman"/>
        </w:rPr>
        <w:t>Fragment przedmiotowej działki nr 5879 o pow. ok. 1461 m</w:t>
      </w:r>
      <w:r>
        <w:rPr>
          <w:rFonts w:cs="Times New Roman"/>
          <w:vertAlign w:val="superscript"/>
        </w:rPr>
        <w:t>2</w:t>
      </w:r>
      <w:r>
        <w:rPr>
          <w:rFonts w:cs="Times New Roman"/>
        </w:rPr>
        <w:t xml:space="preserve"> jest objęty miejscowym planem zagospodarowania przestrzennego Janowa Lubelskiego, przyjętym Uchwałą NR XXXIII/288/21 Rady Miejskiej w Janowie Lubelskim z dnia 22 czerwca 2021 roku w sprawie uchwalenia miejscowego planu zagospodarowania przestrzennego miasta Janowa Lubelskiego - „POŁUDNIE - OGRODY” - Etap 1.</w:t>
      </w:r>
    </w:p>
    <w:p w14:paraId="41C080F1" w14:textId="77777777" w:rsidR="00250A48" w:rsidRDefault="00C41DFA">
      <w:pPr>
        <w:spacing w:before="120" w:after="120"/>
        <w:rPr>
          <w:rFonts w:cs="Times New Roman"/>
        </w:rPr>
      </w:pPr>
      <w:r>
        <w:rPr>
          <w:rFonts w:cs="Times New Roman"/>
        </w:rPr>
        <w:t xml:space="preserve">Zgodnie z przedmiotowym </w:t>
      </w:r>
      <w:proofErr w:type="spellStart"/>
      <w:r>
        <w:rPr>
          <w:rFonts w:cs="Times New Roman"/>
        </w:rPr>
        <w:t>mpzp</w:t>
      </w:r>
      <w:proofErr w:type="spellEnd"/>
      <w:r>
        <w:rPr>
          <w:rFonts w:cs="Times New Roman"/>
        </w:rPr>
        <w:t xml:space="preserve"> zachodnia część działki nr 5879 o pow. 1461 m</w:t>
      </w:r>
      <w:r>
        <w:rPr>
          <w:rFonts w:cs="Times New Roman"/>
          <w:vertAlign w:val="superscript"/>
        </w:rPr>
        <w:t>2</w:t>
      </w:r>
      <w:r>
        <w:rPr>
          <w:rFonts w:cs="Times New Roman"/>
        </w:rPr>
        <w:t xml:space="preserve"> zlokalizowana jest na obszarze oznaczonym symbolem MN-32. Pozostała część terenu opracowania nieobjęta jest miejscowym planem zagospodarowania przestrzennego.</w:t>
      </w:r>
    </w:p>
    <w:p w14:paraId="111F6D34" w14:textId="77777777" w:rsidR="00250A48" w:rsidRDefault="00C41DFA">
      <w:pPr>
        <w:spacing w:before="120" w:after="120"/>
        <w:rPr>
          <w:rFonts w:cs="Times New Roman"/>
        </w:rPr>
      </w:pPr>
      <w:r>
        <w:rPr>
          <w:rFonts w:cs="Times New Roman"/>
        </w:rPr>
        <w:t xml:space="preserve">Przedmiotowa inwestycja nie uwzględnia ustaleń miejscowego planu zagospodarowania potrzebnego w zakresie: </w:t>
      </w:r>
    </w:p>
    <w:p w14:paraId="7DAD1A96" w14:textId="77777777" w:rsidR="00250A48" w:rsidRDefault="00C41DFA">
      <w:pPr>
        <w:spacing w:before="120" w:after="120"/>
        <w:ind w:left="567" w:hanging="283"/>
        <w:rPr>
          <w:rFonts w:cs="Times New Roman"/>
        </w:rPr>
      </w:pPr>
      <w:r>
        <w:rPr>
          <w:rFonts w:cs="Times New Roman"/>
        </w:rPr>
        <w:t xml:space="preserve">1) nie zachowuje ustalonego w planie miejscowym wskaźnika </w:t>
      </w:r>
      <w:r>
        <w:rPr>
          <w:rFonts w:cs="Times New Roman"/>
          <w:u w:val="single"/>
        </w:rPr>
        <w:t xml:space="preserve">powierzchni zabudowy </w:t>
      </w:r>
      <w:r>
        <w:rPr>
          <w:rFonts w:cs="Times New Roman"/>
        </w:rPr>
        <w:t xml:space="preserve">w stosunku do powierzchni terenu MN-32 - w planie miejscowym maksymalnie 30%, w koncepcji inwestora 46% (zaplanowana pow. zabudowy w koncepcji w terenach </w:t>
      </w:r>
      <w:r>
        <w:rPr>
          <w:rFonts w:cs="Times New Roman"/>
        </w:rPr>
        <w:br/>
        <w:t>MN-32 - 675 m</w:t>
      </w:r>
      <w:r>
        <w:rPr>
          <w:rFonts w:cs="Times New Roman"/>
          <w:vertAlign w:val="superscript"/>
        </w:rPr>
        <w:t xml:space="preserve">2 </w:t>
      </w:r>
      <w:r>
        <w:rPr>
          <w:rFonts w:cs="Times New Roman"/>
        </w:rPr>
        <w:t>w stosunku do pow. terenów MN-32 w granicach działki nr 5879 – 1461 m</w:t>
      </w:r>
      <w:r>
        <w:rPr>
          <w:rFonts w:cs="Times New Roman"/>
          <w:vertAlign w:val="superscript"/>
        </w:rPr>
        <w:t>2</w:t>
      </w:r>
      <w:r>
        <w:rPr>
          <w:rFonts w:cs="Times New Roman"/>
        </w:rPr>
        <w:t>);</w:t>
      </w:r>
    </w:p>
    <w:p w14:paraId="74E1DD42" w14:textId="77777777" w:rsidR="00250A48" w:rsidRDefault="00C41DFA">
      <w:pPr>
        <w:spacing w:before="120" w:after="120"/>
        <w:ind w:left="567" w:hanging="283"/>
        <w:rPr>
          <w:rFonts w:cs="Times New Roman"/>
        </w:rPr>
      </w:pPr>
      <w:r>
        <w:rPr>
          <w:rFonts w:cs="Times New Roman"/>
        </w:rPr>
        <w:t xml:space="preserve">2) nie zachowuje ustalonego w planie miejscowym wskaźnika </w:t>
      </w:r>
      <w:r>
        <w:rPr>
          <w:rFonts w:cs="Times New Roman"/>
          <w:u w:val="single"/>
        </w:rPr>
        <w:t>minimalnej powierzchni biologicznie czynnej</w:t>
      </w:r>
      <w:r>
        <w:rPr>
          <w:rFonts w:cs="Times New Roman"/>
        </w:rPr>
        <w:t xml:space="preserve"> wynoszącego 45% dla każdej działki budowlanej - zgodnie z koncepcją inwestora zakłada się w stosunku do tak zwanego terenu prywatnego związanego z budynkiem wskaźniki 24% i 28% (dla budynków A2, A3, A4, B1), 45% (dla budynku A1). Ogólnie na terenie MN-32 w granicach działki nr 5879 inwestor planuje powierzchnię biologicznie czynną 39%. </w:t>
      </w:r>
    </w:p>
    <w:p w14:paraId="17F2150E" w14:textId="77777777" w:rsidR="00250A48" w:rsidRDefault="00C41DFA">
      <w:pPr>
        <w:spacing w:before="120" w:after="120"/>
        <w:ind w:left="567" w:hanging="283"/>
        <w:rPr>
          <w:rFonts w:cs="Times New Roman"/>
        </w:rPr>
      </w:pPr>
      <w:r>
        <w:rPr>
          <w:rFonts w:cs="Times New Roman"/>
        </w:rPr>
        <w:t xml:space="preserve">3) nie zachowuje </w:t>
      </w:r>
      <w:r>
        <w:rPr>
          <w:rFonts w:cs="Times New Roman"/>
          <w:u w:val="single"/>
        </w:rPr>
        <w:t>minimalnej powierzchni działki</w:t>
      </w:r>
      <w:r>
        <w:rPr>
          <w:rFonts w:cs="Times New Roman"/>
        </w:rPr>
        <w:t xml:space="preserve"> budowlanej na terenach MN-32 wynoszącej 600 m</w:t>
      </w:r>
      <w:r>
        <w:rPr>
          <w:rFonts w:cs="Times New Roman"/>
          <w:vertAlign w:val="superscript"/>
        </w:rPr>
        <w:t xml:space="preserve">2 </w:t>
      </w:r>
      <w:r>
        <w:rPr>
          <w:rFonts w:cs="Times New Roman"/>
        </w:rPr>
        <w:t>– w koncepcji inwestora powierzchnie tzw. terenów prywatnych o pow. 300 m</w:t>
      </w:r>
      <w:r>
        <w:rPr>
          <w:rFonts w:cs="Times New Roman"/>
          <w:vertAlign w:val="superscript"/>
        </w:rPr>
        <w:t xml:space="preserve">2 </w:t>
      </w:r>
      <w:r>
        <w:rPr>
          <w:rFonts w:cs="Times New Roman"/>
        </w:rPr>
        <w:t xml:space="preserve">i mniejszej; </w:t>
      </w:r>
    </w:p>
    <w:p w14:paraId="3D1E791A" w14:textId="77777777" w:rsidR="00250A48" w:rsidRDefault="00C41DFA">
      <w:pPr>
        <w:spacing w:before="120" w:after="120"/>
        <w:ind w:left="567" w:hanging="283"/>
        <w:rPr>
          <w:rFonts w:cs="Times New Roman"/>
        </w:rPr>
      </w:pPr>
      <w:r>
        <w:rPr>
          <w:rFonts w:cs="Times New Roman"/>
        </w:rPr>
        <w:t xml:space="preserve">4) nie jest zgodna z zapisem § 7 uchwały o planie miejscowym dotyczącym ochrony i kształtowania ładu przestrzennego, który w pkt 2 ustala na rysunku planu miejscowego przebieg linii zabudowy, według których musi być realizowana nowa zabudowa, </w:t>
      </w:r>
    </w:p>
    <w:p w14:paraId="5518AB11" w14:textId="77777777" w:rsidR="00250A48" w:rsidRDefault="00C41DFA">
      <w:pPr>
        <w:spacing w:before="120" w:after="120"/>
        <w:ind w:left="567" w:hanging="283"/>
        <w:rPr>
          <w:rFonts w:cs="Times New Roman"/>
        </w:rPr>
      </w:pPr>
      <w:r>
        <w:rPr>
          <w:rFonts w:cs="Times New Roman"/>
        </w:rPr>
        <w:t>5) nie zachowuje przebiegu nieprzekraczalnych linii zabudowy od ul. Ochotników Węgierskich - w planie miejscowym min. 10 m, w koncepcji inwestora 4,8 m;</w:t>
      </w:r>
    </w:p>
    <w:p w14:paraId="2E67961A" w14:textId="77777777" w:rsidR="00250A48" w:rsidRDefault="00C41DFA">
      <w:pPr>
        <w:spacing w:before="120" w:after="120"/>
        <w:ind w:left="567" w:hanging="283"/>
        <w:rPr>
          <w:rFonts w:cs="Times New Roman"/>
        </w:rPr>
      </w:pPr>
      <w:r>
        <w:rPr>
          <w:rFonts w:cs="Times New Roman"/>
        </w:rPr>
        <w:t xml:space="preserve">6) nie zachowuje przebiegu nieprzekraczalnych linii zabudowy wyznaczonych od wschodu i południa od terenów przyległych do terenów MN-32; </w:t>
      </w:r>
    </w:p>
    <w:p w14:paraId="56F61EA3" w14:textId="77777777" w:rsidR="00250A48" w:rsidRDefault="00C41DFA">
      <w:pPr>
        <w:spacing w:before="120" w:after="120"/>
        <w:ind w:left="567" w:hanging="283"/>
        <w:rPr>
          <w:rFonts w:cs="Times New Roman"/>
        </w:rPr>
      </w:pPr>
      <w:r>
        <w:rPr>
          <w:rFonts w:cs="Times New Roman"/>
        </w:rPr>
        <w:t>7) nie jest zgodna z zapisami § 36 pkt 2 uchwały w sprawie planu - plan dopuszcza realizację budynków w zabudowie bliźniaczej lub grupowej w formie regularnego zespołu zabudowy liczącego minimum 6 budynków – inwestor na terenie MN-32 planuje tylko 5 budynków;</w:t>
      </w:r>
    </w:p>
    <w:p w14:paraId="3B024016" w14:textId="77777777" w:rsidR="00250A48" w:rsidRDefault="00C41DFA">
      <w:pPr>
        <w:spacing w:before="120" w:after="120"/>
        <w:ind w:left="567" w:hanging="283"/>
        <w:rPr>
          <w:rFonts w:cs="Times New Roman"/>
        </w:rPr>
      </w:pPr>
      <w:bookmarkStart w:id="0" w:name="_Hlk199241898"/>
      <w:r>
        <w:rPr>
          <w:rFonts w:cs="Times New Roman"/>
        </w:rPr>
        <w:t xml:space="preserve">8) w związku z pkt 7 </w:t>
      </w:r>
      <w:proofErr w:type="spellStart"/>
      <w:r>
        <w:rPr>
          <w:rFonts w:cs="Times New Roman"/>
        </w:rPr>
        <w:t>j.w</w:t>
      </w:r>
      <w:proofErr w:type="spellEnd"/>
      <w:r>
        <w:rPr>
          <w:rFonts w:cs="Times New Roman"/>
        </w:rPr>
        <w:t xml:space="preserve">. nie zachowuje nakazu realizacji zabudowy w formie budynków wolnostojących, który obowiązuje dla działek o szerokości większej niż 18 m (szerokość terenów MN-32 na działce nr 5879 wynosi powyżej 18 m) - plan miejscowy dopuszcza realizację budynków mieszkalnych bezpośrednio przy granicy działki, w tym w zabudowie bliźniaczej lub w odległości 1,5 m od granicy pod warunkiem, że szerokość działki jest mniejszej niż 18 m i nie mniejszej niż 10 m, </w:t>
      </w:r>
      <w:bookmarkEnd w:id="0"/>
    </w:p>
    <w:p w14:paraId="606162E8" w14:textId="77777777" w:rsidR="00250A48" w:rsidRDefault="00C41DFA">
      <w:pPr>
        <w:spacing w:before="120" w:after="120"/>
        <w:rPr>
          <w:rFonts w:cs="Times New Roman"/>
        </w:rPr>
      </w:pPr>
      <w:r>
        <w:rPr>
          <w:rFonts w:cs="Times New Roman"/>
        </w:rPr>
        <w:t>Inwestor w złożonym wniosku wskazał tylko, że przedmiotowa inwestycja nie uwzględnia ustaleń miejscowego planu zagospodarowania potrzebnego w zakresie powierzchni działki objętej miejscowym planem oraz nie zachowuje przebiegu narysowanych linii zabudowy.</w:t>
      </w:r>
    </w:p>
    <w:p w14:paraId="131C5319" w14:textId="77777777" w:rsidR="00250A48" w:rsidRDefault="00C41DFA">
      <w:pPr>
        <w:spacing w:before="120" w:after="120"/>
        <w:rPr>
          <w:rFonts w:cs="Times New Roman"/>
        </w:rPr>
      </w:pPr>
      <w:r>
        <w:rPr>
          <w:rFonts w:cs="Times New Roman"/>
        </w:rPr>
        <w:t xml:space="preserve">VII. Spełnienie wymogów art. 8 ustawy </w:t>
      </w:r>
      <w:r>
        <w:rPr>
          <w:rFonts w:cs="Times New Roman"/>
          <w:lang w:eastAsia="pl-PL"/>
        </w:rPr>
        <w:t>o ułatwieniach w przygotowaniu i realizacji inwestycji mieszkaniowych oraz inwestycji towarzyszących.</w:t>
      </w:r>
    </w:p>
    <w:p w14:paraId="40ACA060" w14:textId="77777777" w:rsidR="00250A48" w:rsidRDefault="00C41DFA">
      <w:pPr>
        <w:spacing w:before="120" w:after="120"/>
        <w:rPr>
          <w:rFonts w:cs="Times New Roman"/>
        </w:rPr>
      </w:pPr>
      <w:r>
        <w:rPr>
          <w:rFonts w:cs="Times New Roman"/>
        </w:rPr>
        <w:t>Uchwała określa wszystkie elementy wymagane przepisem art. 8 ust. 1 Specustawy Mieszkaniowej, w tym m.in. rodzaj, zakres i sposób realizacji inwestycji, linie rozgraniczające, minimalną odległość budynków od linii rozgraniczających terenów komunikacji, warunki zagospodarowania terenu i zabudowy, wskaźniki urbanistyczne (powierzchnia biologicznie czynna, liczba miejsc postojowych, liczba kondygnacji, wysokość zabudowy, geometria dachu), sposób dostępu do drogi publicznej, warunki obsługi infrastrukturalnej a także warunki wynikające z potrzeb ochrony środowiska.</w:t>
      </w:r>
    </w:p>
    <w:p w14:paraId="399168DA" w14:textId="77777777" w:rsidR="00250A48" w:rsidRDefault="00C41DFA">
      <w:pPr>
        <w:spacing w:before="120" w:after="120"/>
        <w:rPr>
          <w:rFonts w:cs="Times New Roman"/>
        </w:rPr>
      </w:pPr>
      <w:r>
        <w:rPr>
          <w:rFonts w:cs="Times New Roman"/>
        </w:rPr>
        <w:t>VII. Pozostałe uwarunkowania.</w:t>
      </w:r>
    </w:p>
    <w:p w14:paraId="1A705534" w14:textId="77777777" w:rsidR="00250A48" w:rsidRDefault="00C41DFA">
      <w:pPr>
        <w:spacing w:before="120" w:after="120"/>
        <w:rPr>
          <w:rFonts w:cs="Times New Roman"/>
        </w:rPr>
      </w:pPr>
      <w:r>
        <w:rPr>
          <w:rFonts w:cs="Times New Roman"/>
        </w:rPr>
        <w:t>Zgodnie z przedłożonymi do wniosku Inwestora dokumentami:</w:t>
      </w:r>
    </w:p>
    <w:p w14:paraId="628175D8" w14:textId="77777777" w:rsidR="00250A48" w:rsidRDefault="00C41DFA">
      <w:pPr>
        <w:pStyle w:val="Akapitzlist"/>
        <w:numPr>
          <w:ilvl w:val="0"/>
          <w:numId w:val="14"/>
        </w:numPr>
        <w:spacing w:before="120" w:after="120"/>
        <w:contextualSpacing w:val="0"/>
      </w:pPr>
      <w:r>
        <w:t>Zapewniona jest możliwość obsługi inwestycji w zakresie infrastruktury wodociągowej, kanalizacyjnej i elektroenergetycznej (stosowne warunki i oświadczenia gestorów sieci).</w:t>
      </w:r>
    </w:p>
    <w:p w14:paraId="1B92C406" w14:textId="77777777" w:rsidR="00250A48" w:rsidRDefault="00C41DFA">
      <w:pPr>
        <w:pStyle w:val="Akapitzlist"/>
        <w:numPr>
          <w:ilvl w:val="0"/>
          <w:numId w:val="14"/>
        </w:numPr>
        <w:spacing w:before="120" w:after="120"/>
        <w:contextualSpacing w:val="0"/>
      </w:pPr>
      <w:r>
        <w:t>Zapewniona jest obsługa komunikacyjna poprzez zjazd z drogi gminnej (decyzja Burmistrza Janowa Lubelskiego).</w:t>
      </w:r>
    </w:p>
    <w:p w14:paraId="6876EAE0" w14:textId="77777777" w:rsidR="00250A48" w:rsidRDefault="00C41DFA">
      <w:pPr>
        <w:pStyle w:val="Akapitzlist"/>
        <w:numPr>
          <w:ilvl w:val="0"/>
          <w:numId w:val="14"/>
        </w:numPr>
        <w:spacing w:before="120" w:after="120"/>
        <w:contextualSpacing w:val="0"/>
      </w:pPr>
      <w:r>
        <w:t>Gmina Janów Lubelski – Zakład Obsługi Szkół i Przedszkoli w Janowie Lubelskim zaświadczeniem z 22.03.2024 r. potwierdził możliwość przyjęcia nowych uczniów do szkoły podstawowej.</w:t>
      </w:r>
    </w:p>
    <w:p w14:paraId="351D8544" w14:textId="77777777" w:rsidR="00250A48" w:rsidRDefault="00C41DFA">
      <w:pPr>
        <w:pStyle w:val="Akapitzlist"/>
        <w:numPr>
          <w:ilvl w:val="0"/>
          <w:numId w:val="14"/>
        </w:numPr>
        <w:spacing w:before="120" w:after="120"/>
        <w:contextualSpacing w:val="0"/>
      </w:pPr>
      <w:r>
        <w:t>Dla inwestycji nie ma potrzeby uzyskania decyzji o środowiskowych uwarunkowaniach (pismo Urzędu Miejskiego z 16.12.2024 r.).</w:t>
      </w:r>
    </w:p>
    <w:p w14:paraId="488E5F23" w14:textId="77777777" w:rsidR="00250A48" w:rsidRDefault="00C41DFA">
      <w:pPr>
        <w:spacing w:before="120" w:after="120"/>
        <w:rPr>
          <w:rFonts w:cs="Times New Roman"/>
        </w:rPr>
      </w:pPr>
      <w:r>
        <w:rPr>
          <w:rFonts w:cs="Times New Roman"/>
        </w:rPr>
        <w:t>VIII. Podsumowanie</w:t>
      </w:r>
    </w:p>
    <w:p w14:paraId="18E4AEF7" w14:textId="77777777" w:rsidR="00250A48" w:rsidRDefault="00C41DFA">
      <w:pPr>
        <w:spacing w:before="120" w:after="120"/>
        <w:rPr>
          <w:rFonts w:cs="Times New Roman"/>
        </w:rPr>
      </w:pPr>
      <w:r>
        <w:rPr>
          <w:rFonts w:cs="Times New Roman"/>
        </w:rPr>
        <w:t>Biorąc pod uwagę wszystkie powyższe okoliczności, w szczególności cel Specustawy Mieszkaniowej, jakim jest ułatwienie realizacji inwestycji mieszkaniowych, a także dokonawszy wnikliwej analizy niesprzeczności planowanej inwestycji z ustaleniami Studium Uwarunkowań i Kierunków Zagospodarowania Przestrzennego Miasta i Gminy Janów Lubelski oraz rozważywszy uwagi Gminnej Komisji Urbanistyczno-Architektonicznej i stron postępowania, Rada Miejska w Janowie Lubelskim uznała za zasadne podjęcie niniejszej uchwały.</w:t>
      </w:r>
    </w:p>
    <w:p w14:paraId="1818E6C4" w14:textId="77777777" w:rsidR="00250A48" w:rsidRDefault="00C41DFA">
      <w:pPr>
        <w:spacing w:before="120" w:after="120"/>
        <w:rPr>
          <w:rFonts w:cs="Times New Roman"/>
        </w:rPr>
      </w:pPr>
      <w:r>
        <w:rPr>
          <w:rFonts w:cs="Times New Roman"/>
        </w:rPr>
        <w:t>Rada Miejska stoi na stanowisku, że realizacja przedmiotowej inwestycji, przy spełnieniu warunków określonych w niniejszej uchwale, przyczyni się do zaspokojenia potrzeb mieszkaniowych w gminie, nie naruszając przy tym w sposób nieakceptowalny ładu przestrzennego ani uzasadnionych interesów osób trzecich. Uchwała o ustaleniu lokalizacji inwestycji, pomimo wskazanej częściowej niezgodności z literalnym zapisem Studium dotyczącym odległości od rowu, została podjęta w oparciu o kompetencje Rady do interpretacji i stosowania dokumentów planistycznych w szczególnym trybie przewidzianym przez Specustawę Mieszkaniową, z uwzględnieniem nadrzędnego interesu publicznego.</w:t>
      </w:r>
    </w:p>
    <w:p w14:paraId="0E59A70D" w14:textId="77777777" w:rsidR="00250A48" w:rsidRDefault="00250A48">
      <w:pPr>
        <w:spacing w:before="120" w:after="120"/>
        <w:ind w:left="4395"/>
        <w:rPr>
          <w:rFonts w:cs="Times New Roman"/>
          <w:lang w:eastAsia="pl-PL"/>
        </w:rPr>
      </w:pPr>
    </w:p>
    <w:p w14:paraId="206A59E4" w14:textId="77777777" w:rsidR="00250A48" w:rsidRDefault="00C41DFA">
      <w:pPr>
        <w:spacing w:before="120" w:after="120"/>
        <w:ind w:left="4395"/>
        <w:rPr>
          <w:rFonts w:cs="Times New Roman"/>
          <w:lang w:eastAsia="pl-PL"/>
        </w:rPr>
      </w:pPr>
      <w:r>
        <w:rPr>
          <w:rFonts w:cs="Times New Roman"/>
          <w:lang w:eastAsia="pl-PL"/>
        </w:rPr>
        <w:t xml:space="preserve">Przewodnicząca Rady Miejskiej </w:t>
      </w:r>
    </w:p>
    <w:p w14:paraId="2B075433" w14:textId="77777777" w:rsidR="00250A48" w:rsidRDefault="00C41DFA">
      <w:pPr>
        <w:spacing w:before="120" w:after="120"/>
        <w:ind w:left="4395"/>
        <w:rPr>
          <w:rFonts w:cs="Times New Roman"/>
          <w:lang w:eastAsia="pl-PL"/>
        </w:rPr>
      </w:pPr>
      <w:r>
        <w:rPr>
          <w:rFonts w:cs="Times New Roman"/>
          <w:lang w:eastAsia="pl-PL"/>
        </w:rPr>
        <w:t xml:space="preserve">         w Janowie Lubelskim</w:t>
      </w:r>
    </w:p>
    <w:p w14:paraId="5335F03C" w14:textId="77777777" w:rsidR="00250A48" w:rsidRDefault="00C41DFA">
      <w:pPr>
        <w:spacing w:before="120" w:after="120"/>
        <w:ind w:left="4395"/>
        <w:rPr>
          <w:rFonts w:cs="Times New Roman"/>
          <w:lang w:eastAsia="pl-PL"/>
        </w:rPr>
      </w:pPr>
      <w:r>
        <w:rPr>
          <w:rFonts w:cs="Times New Roman"/>
          <w:lang w:eastAsia="pl-PL"/>
        </w:rPr>
        <w:t xml:space="preserve">             Bożena Czajkowska</w:t>
      </w:r>
    </w:p>
    <w:p w14:paraId="574E011E" w14:textId="77777777" w:rsidR="00250A48" w:rsidRDefault="00250A48">
      <w:pPr>
        <w:spacing w:before="120" w:after="120"/>
        <w:rPr>
          <w:rFonts w:cs="Times New Roman"/>
        </w:rPr>
      </w:pPr>
    </w:p>
    <w:sectPr w:rsidR="00250A48">
      <w:footerReference w:type="even" r:id="rId8"/>
      <w:footerReference w:type="default" r:id="rId9"/>
      <w:footerReference w:type="first" r:id="rId10"/>
      <w:pgSz w:w="11906" w:h="16838"/>
      <w:pgMar w:top="1417" w:right="1417" w:bottom="1417" w:left="1417"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7E9BA" w14:textId="77777777" w:rsidR="00C41DFA" w:rsidRDefault="00C41DFA">
      <w:pPr>
        <w:spacing w:after="0" w:line="240" w:lineRule="auto"/>
      </w:pPr>
      <w:r>
        <w:separator/>
      </w:r>
    </w:p>
  </w:endnote>
  <w:endnote w:type="continuationSeparator" w:id="0">
    <w:p w14:paraId="49ADC144" w14:textId="77777777" w:rsidR="00C41DFA" w:rsidRDefault="00C41D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19D90" w14:textId="77777777" w:rsidR="00250A48" w:rsidRDefault="00250A4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030108"/>
      <w:docPartObj>
        <w:docPartGallery w:val="Page Numbers (Bottom of Page)"/>
        <w:docPartUnique/>
      </w:docPartObj>
    </w:sdtPr>
    <w:sdtEndPr/>
    <w:sdtContent>
      <w:p w14:paraId="0ED24687" w14:textId="77777777" w:rsidR="00250A48" w:rsidRDefault="00C41DFA">
        <w:pPr>
          <w:pStyle w:val="Stopka"/>
          <w:jc w:val="center"/>
        </w:pPr>
        <w:r>
          <w:fldChar w:fldCharType="begin"/>
        </w:r>
        <w:r>
          <w:instrText xml:space="preserve"> PAGE </w:instrText>
        </w:r>
        <w:r>
          <w:fldChar w:fldCharType="separate"/>
        </w:r>
        <w:r>
          <w:t>15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086354"/>
      <w:docPartObj>
        <w:docPartGallery w:val="Page Numbers (Bottom of Page)"/>
        <w:docPartUnique/>
      </w:docPartObj>
    </w:sdtPr>
    <w:sdtEndPr/>
    <w:sdtContent>
      <w:p w14:paraId="76E12D14" w14:textId="77777777" w:rsidR="00250A48" w:rsidRDefault="00C41DFA">
        <w:pPr>
          <w:pStyle w:val="Stopka"/>
          <w:jc w:val="center"/>
        </w:pPr>
        <w:r>
          <w:fldChar w:fldCharType="begin"/>
        </w:r>
        <w:r>
          <w:instrText xml:space="preserve"> PAGE </w:instrText>
        </w:r>
        <w:r>
          <w:fldChar w:fldCharType="separate"/>
        </w:r>
        <w:r>
          <w:t>15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AE65D" w14:textId="77777777" w:rsidR="00C41DFA" w:rsidRDefault="00C41DFA">
      <w:pPr>
        <w:spacing w:after="0" w:line="240" w:lineRule="auto"/>
      </w:pPr>
      <w:r>
        <w:separator/>
      </w:r>
    </w:p>
  </w:footnote>
  <w:footnote w:type="continuationSeparator" w:id="0">
    <w:p w14:paraId="1951EEAC" w14:textId="77777777" w:rsidR="00C41DFA" w:rsidRDefault="00C41D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2372C"/>
    <w:multiLevelType w:val="multilevel"/>
    <w:tmpl w:val="8F3A1A6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87338D1"/>
    <w:multiLevelType w:val="multilevel"/>
    <w:tmpl w:val="E012BA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EB962C4"/>
    <w:multiLevelType w:val="multilevel"/>
    <w:tmpl w:val="A05A3A0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FA93F52"/>
    <w:multiLevelType w:val="multilevel"/>
    <w:tmpl w:val="CD04A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4795F18"/>
    <w:multiLevelType w:val="multilevel"/>
    <w:tmpl w:val="CFFA3CB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5986F1B"/>
    <w:multiLevelType w:val="multilevel"/>
    <w:tmpl w:val="4DF62A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D792856"/>
    <w:multiLevelType w:val="multilevel"/>
    <w:tmpl w:val="25F46B4E"/>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7" w15:restartNumberingAfterBreak="0">
    <w:nsid w:val="2E646FDC"/>
    <w:multiLevelType w:val="multilevel"/>
    <w:tmpl w:val="1506F5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42C3F88"/>
    <w:multiLevelType w:val="multilevel"/>
    <w:tmpl w:val="2C8A2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AC05E87"/>
    <w:multiLevelType w:val="multilevel"/>
    <w:tmpl w:val="7D906CC6"/>
    <w:lvl w:ilvl="0">
      <w:start w:val="1"/>
      <w:numFmt w:val="decimal"/>
      <w:lvlText w:val="%1."/>
      <w:lvlJc w:val="left"/>
      <w:pPr>
        <w:tabs>
          <w:tab w:val="num" w:pos="0"/>
        </w:tabs>
        <w:ind w:left="1070" w:hanging="360"/>
      </w:pPr>
    </w:lvl>
    <w:lvl w:ilvl="1">
      <w:start w:val="1"/>
      <w:numFmt w:val="lowerLetter"/>
      <w:lvlText w:val="%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0" w15:restartNumberingAfterBreak="0">
    <w:nsid w:val="4CA77371"/>
    <w:multiLevelType w:val="multilevel"/>
    <w:tmpl w:val="2B0831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1741375"/>
    <w:multiLevelType w:val="multilevel"/>
    <w:tmpl w:val="345610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2815877"/>
    <w:multiLevelType w:val="multilevel"/>
    <w:tmpl w:val="0F44056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47E36BB"/>
    <w:multiLevelType w:val="multilevel"/>
    <w:tmpl w:val="D298C1F6"/>
    <w:lvl w:ilvl="0">
      <w:start w:val="1"/>
      <w:numFmt w:val="decimal"/>
      <w:lvlText w:val="%1)"/>
      <w:lvlJc w:val="left"/>
      <w:pPr>
        <w:tabs>
          <w:tab w:val="num" w:pos="0"/>
        </w:tabs>
        <w:ind w:left="1440" w:hanging="360"/>
      </w:pPr>
    </w:lvl>
    <w:lvl w:ilvl="1">
      <w:start w:val="1"/>
      <w:numFmt w:val="decimal"/>
      <w:lvlText w:val="%2)"/>
      <w:lvlJc w:val="left"/>
      <w:pPr>
        <w:tabs>
          <w:tab w:val="num" w:pos="0"/>
        </w:tabs>
        <w:ind w:left="72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 w15:restartNumberingAfterBreak="0">
    <w:nsid w:val="57231357"/>
    <w:multiLevelType w:val="multilevel"/>
    <w:tmpl w:val="6E181E9A"/>
    <w:lvl w:ilvl="0">
      <w:start w:val="1"/>
      <w:numFmt w:val="lowerLetter"/>
      <w:lvlText w:val="%1."/>
      <w:lvlJc w:val="left"/>
      <w:pPr>
        <w:tabs>
          <w:tab w:val="num" w:pos="0"/>
        </w:tabs>
        <w:ind w:left="720" w:hanging="360"/>
      </w:pPr>
    </w:lvl>
    <w:lvl w:ilvl="1">
      <w:start w:val="1"/>
      <w:numFmt w:val="decimal"/>
      <w:lvlText w:val="%2)"/>
      <w:lvlJc w:val="left"/>
      <w:pPr>
        <w:tabs>
          <w:tab w:val="num" w:pos="0"/>
        </w:tabs>
        <w:ind w:left="72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B627977"/>
    <w:multiLevelType w:val="multilevel"/>
    <w:tmpl w:val="5628C662"/>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0852770"/>
    <w:multiLevelType w:val="multilevel"/>
    <w:tmpl w:val="6BB6B4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5C57050"/>
    <w:multiLevelType w:val="multilevel"/>
    <w:tmpl w:val="0F78B8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99D6D3F"/>
    <w:multiLevelType w:val="multilevel"/>
    <w:tmpl w:val="D7D6BCAE"/>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3926EED"/>
    <w:multiLevelType w:val="multilevel"/>
    <w:tmpl w:val="A98ABC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5115ABA"/>
    <w:multiLevelType w:val="multilevel"/>
    <w:tmpl w:val="9232FAD8"/>
    <w:lvl w:ilvl="0">
      <w:start w:val="1"/>
      <w:numFmt w:val="bullet"/>
      <w:lvlText w:val=""/>
      <w:lvlJc w:val="left"/>
      <w:pPr>
        <w:tabs>
          <w:tab w:val="num" w:pos="0"/>
        </w:tabs>
        <w:ind w:left="720" w:hanging="360"/>
      </w:pPr>
      <w:rPr>
        <w:rFonts w:ascii="Symbol" w:hAnsi="Symbol" w:cs="Symbol" w:hint="default"/>
      </w:rPr>
    </w:lvl>
    <w:lvl w:ilvl="1">
      <w:start w:val="3"/>
      <w:numFmt w:val="bullet"/>
      <w:lvlText w:val="•"/>
      <w:lvlJc w:val="left"/>
      <w:pPr>
        <w:tabs>
          <w:tab w:val="num" w:pos="0"/>
        </w:tabs>
        <w:ind w:left="1785" w:hanging="705"/>
      </w:pPr>
      <w:rPr>
        <w:rFonts w:ascii="Calibri" w:eastAsiaTheme="minorHAnsi" w:hAnsi="Calibri" w:cs="Calibri"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5BF7091"/>
    <w:multiLevelType w:val="multilevel"/>
    <w:tmpl w:val="7DBC2D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8F939DF"/>
    <w:multiLevelType w:val="multilevel"/>
    <w:tmpl w:val="DBC0CFE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9BC64FD"/>
    <w:multiLevelType w:val="multilevel"/>
    <w:tmpl w:val="0D8E73CA"/>
    <w:lvl w:ilvl="0">
      <w:start w:val="1"/>
      <w:numFmt w:val="bullet"/>
      <w:lvlText w:val=""/>
      <w:lvlJc w:val="left"/>
      <w:pPr>
        <w:tabs>
          <w:tab w:val="num" w:pos="0"/>
        </w:tabs>
        <w:ind w:left="2138" w:hanging="360"/>
      </w:pPr>
      <w:rPr>
        <w:rFonts w:ascii="Symbol" w:hAnsi="Symbol" w:cs="Symbol" w:hint="default"/>
      </w:rPr>
    </w:lvl>
    <w:lvl w:ilvl="1">
      <w:start w:val="1"/>
      <w:numFmt w:val="bullet"/>
      <w:lvlText w:val="o"/>
      <w:lvlJc w:val="left"/>
      <w:pPr>
        <w:tabs>
          <w:tab w:val="num" w:pos="0"/>
        </w:tabs>
        <w:ind w:left="2858" w:hanging="360"/>
      </w:pPr>
      <w:rPr>
        <w:rFonts w:ascii="Courier New" w:hAnsi="Courier New" w:cs="Courier New" w:hint="default"/>
      </w:rPr>
    </w:lvl>
    <w:lvl w:ilvl="2">
      <w:start w:val="1"/>
      <w:numFmt w:val="bullet"/>
      <w:lvlText w:val=""/>
      <w:lvlJc w:val="left"/>
      <w:pPr>
        <w:tabs>
          <w:tab w:val="num" w:pos="0"/>
        </w:tabs>
        <w:ind w:left="3578" w:hanging="360"/>
      </w:pPr>
      <w:rPr>
        <w:rFonts w:ascii="Wingdings" w:hAnsi="Wingdings" w:cs="Wingdings" w:hint="default"/>
      </w:rPr>
    </w:lvl>
    <w:lvl w:ilvl="3">
      <w:start w:val="1"/>
      <w:numFmt w:val="bullet"/>
      <w:lvlText w:val=""/>
      <w:lvlJc w:val="left"/>
      <w:pPr>
        <w:tabs>
          <w:tab w:val="num" w:pos="0"/>
        </w:tabs>
        <w:ind w:left="4298" w:hanging="360"/>
      </w:pPr>
      <w:rPr>
        <w:rFonts w:ascii="Symbol" w:hAnsi="Symbol" w:cs="Symbol" w:hint="default"/>
      </w:rPr>
    </w:lvl>
    <w:lvl w:ilvl="4">
      <w:start w:val="1"/>
      <w:numFmt w:val="bullet"/>
      <w:lvlText w:val="o"/>
      <w:lvlJc w:val="left"/>
      <w:pPr>
        <w:tabs>
          <w:tab w:val="num" w:pos="0"/>
        </w:tabs>
        <w:ind w:left="5018" w:hanging="360"/>
      </w:pPr>
      <w:rPr>
        <w:rFonts w:ascii="Courier New" w:hAnsi="Courier New" w:cs="Courier New" w:hint="default"/>
      </w:rPr>
    </w:lvl>
    <w:lvl w:ilvl="5">
      <w:start w:val="1"/>
      <w:numFmt w:val="bullet"/>
      <w:lvlText w:val=""/>
      <w:lvlJc w:val="left"/>
      <w:pPr>
        <w:tabs>
          <w:tab w:val="num" w:pos="0"/>
        </w:tabs>
        <w:ind w:left="5738" w:hanging="360"/>
      </w:pPr>
      <w:rPr>
        <w:rFonts w:ascii="Wingdings" w:hAnsi="Wingdings" w:cs="Wingdings" w:hint="default"/>
      </w:rPr>
    </w:lvl>
    <w:lvl w:ilvl="6">
      <w:start w:val="1"/>
      <w:numFmt w:val="bullet"/>
      <w:lvlText w:val=""/>
      <w:lvlJc w:val="left"/>
      <w:pPr>
        <w:tabs>
          <w:tab w:val="num" w:pos="0"/>
        </w:tabs>
        <w:ind w:left="6458" w:hanging="360"/>
      </w:pPr>
      <w:rPr>
        <w:rFonts w:ascii="Symbol" w:hAnsi="Symbol" w:cs="Symbol" w:hint="default"/>
      </w:rPr>
    </w:lvl>
    <w:lvl w:ilvl="7">
      <w:start w:val="1"/>
      <w:numFmt w:val="bullet"/>
      <w:lvlText w:val="o"/>
      <w:lvlJc w:val="left"/>
      <w:pPr>
        <w:tabs>
          <w:tab w:val="num" w:pos="0"/>
        </w:tabs>
        <w:ind w:left="7178" w:hanging="360"/>
      </w:pPr>
      <w:rPr>
        <w:rFonts w:ascii="Courier New" w:hAnsi="Courier New" w:cs="Courier New" w:hint="default"/>
      </w:rPr>
    </w:lvl>
    <w:lvl w:ilvl="8">
      <w:start w:val="1"/>
      <w:numFmt w:val="bullet"/>
      <w:lvlText w:val=""/>
      <w:lvlJc w:val="left"/>
      <w:pPr>
        <w:tabs>
          <w:tab w:val="num" w:pos="0"/>
        </w:tabs>
        <w:ind w:left="7898" w:hanging="360"/>
      </w:pPr>
      <w:rPr>
        <w:rFonts w:ascii="Wingdings" w:hAnsi="Wingdings" w:cs="Wingdings" w:hint="default"/>
      </w:rPr>
    </w:lvl>
  </w:abstractNum>
  <w:num w:numId="1" w16cid:durableId="562368881">
    <w:abstractNumId w:val="9"/>
  </w:num>
  <w:num w:numId="2" w16cid:durableId="1398866833">
    <w:abstractNumId w:val="23"/>
  </w:num>
  <w:num w:numId="3" w16cid:durableId="839346578">
    <w:abstractNumId w:val="15"/>
  </w:num>
  <w:num w:numId="4" w16cid:durableId="209265273">
    <w:abstractNumId w:val="5"/>
  </w:num>
  <w:num w:numId="5" w16cid:durableId="923684132">
    <w:abstractNumId w:val="3"/>
  </w:num>
  <w:num w:numId="6" w16cid:durableId="103158971">
    <w:abstractNumId w:val="20"/>
  </w:num>
  <w:num w:numId="7" w16cid:durableId="918751988">
    <w:abstractNumId w:val="17"/>
  </w:num>
  <w:num w:numId="8" w16cid:durableId="1320496069">
    <w:abstractNumId w:val="19"/>
  </w:num>
  <w:num w:numId="9" w16cid:durableId="144979923">
    <w:abstractNumId w:val="6"/>
  </w:num>
  <w:num w:numId="10" w16cid:durableId="688222811">
    <w:abstractNumId w:val="1"/>
  </w:num>
  <w:num w:numId="11" w16cid:durableId="1379160808">
    <w:abstractNumId w:val="8"/>
  </w:num>
  <w:num w:numId="12" w16cid:durableId="541208410">
    <w:abstractNumId w:val="16"/>
  </w:num>
  <w:num w:numId="13" w16cid:durableId="1437747285">
    <w:abstractNumId w:val="10"/>
  </w:num>
  <w:num w:numId="14" w16cid:durableId="1470130214">
    <w:abstractNumId w:val="21"/>
  </w:num>
  <w:num w:numId="15" w16cid:durableId="601452182">
    <w:abstractNumId w:val="2"/>
  </w:num>
  <w:num w:numId="16" w16cid:durableId="1831946503">
    <w:abstractNumId w:val="13"/>
  </w:num>
  <w:num w:numId="17" w16cid:durableId="2084376630">
    <w:abstractNumId w:val="14"/>
  </w:num>
  <w:num w:numId="18" w16cid:durableId="544409690">
    <w:abstractNumId w:val="7"/>
  </w:num>
  <w:num w:numId="19" w16cid:durableId="1164709988">
    <w:abstractNumId w:val="22"/>
  </w:num>
  <w:num w:numId="20" w16cid:durableId="2090498366">
    <w:abstractNumId w:val="4"/>
  </w:num>
  <w:num w:numId="21" w16cid:durableId="697852240">
    <w:abstractNumId w:val="18"/>
  </w:num>
  <w:num w:numId="22" w16cid:durableId="301472029">
    <w:abstractNumId w:val="0"/>
  </w:num>
  <w:num w:numId="23" w16cid:durableId="694117855">
    <w:abstractNumId w:val="12"/>
  </w:num>
  <w:num w:numId="24" w16cid:durableId="17615663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A48"/>
    <w:rsid w:val="00060942"/>
    <w:rsid w:val="00172D52"/>
    <w:rsid w:val="001B0E36"/>
    <w:rsid w:val="001F4658"/>
    <w:rsid w:val="001F6BC0"/>
    <w:rsid w:val="002214A1"/>
    <w:rsid w:val="00250A48"/>
    <w:rsid w:val="003524F8"/>
    <w:rsid w:val="003974C0"/>
    <w:rsid w:val="0042764B"/>
    <w:rsid w:val="004B7CD7"/>
    <w:rsid w:val="0055665C"/>
    <w:rsid w:val="005C5BD4"/>
    <w:rsid w:val="006E77C5"/>
    <w:rsid w:val="007011FE"/>
    <w:rsid w:val="0077312E"/>
    <w:rsid w:val="007B315C"/>
    <w:rsid w:val="008961B5"/>
    <w:rsid w:val="008B3CA1"/>
    <w:rsid w:val="008D065F"/>
    <w:rsid w:val="00A21CFD"/>
    <w:rsid w:val="00BB4A3E"/>
    <w:rsid w:val="00C41DFA"/>
    <w:rsid w:val="00CA2325"/>
    <w:rsid w:val="00CB7A06"/>
    <w:rsid w:val="00D243D4"/>
    <w:rsid w:val="00DE3CB2"/>
    <w:rsid w:val="00E74209"/>
    <w:rsid w:val="00F97BE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9BEEC"/>
  <w15:docId w15:val="{F705A8C1-205D-4FB8-B9BB-E9AF1A060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6A4C"/>
    <w:pPr>
      <w:spacing w:after="160" w:line="276" w:lineRule="auto"/>
    </w:pPr>
  </w:style>
  <w:style w:type="paragraph" w:styleId="Nagwek1">
    <w:name w:val="heading 1"/>
    <w:basedOn w:val="Normalny"/>
    <w:next w:val="Normalny"/>
    <w:link w:val="Nagwek1Znak"/>
    <w:uiPriority w:val="9"/>
    <w:qFormat/>
    <w:rsid w:val="008E7E7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8E7E7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8E7E7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8E7E7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8E7E7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8E7E7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E7E7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E7E7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E7E7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8E7E7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8E7E7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8E7E7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8E7E7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8E7E7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8E7E7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8E7E7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8E7E7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8E7E73"/>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8E7E73"/>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8E7E73"/>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8E7E73"/>
    <w:rPr>
      <w:i/>
      <w:iCs/>
      <w:color w:val="404040" w:themeColor="text1" w:themeTint="BF"/>
    </w:rPr>
  </w:style>
  <w:style w:type="character" w:styleId="Wyrnienieintensywne">
    <w:name w:val="Intense Emphasis"/>
    <w:basedOn w:val="Domylnaczcionkaakapitu"/>
    <w:uiPriority w:val="21"/>
    <w:qFormat/>
    <w:rsid w:val="008E7E73"/>
    <w:rPr>
      <w:i/>
      <w:iCs/>
      <w:color w:val="2F5496" w:themeColor="accent1" w:themeShade="BF"/>
    </w:rPr>
  </w:style>
  <w:style w:type="character" w:customStyle="1" w:styleId="CytatintensywnyZnak">
    <w:name w:val="Cytat intensywny Znak"/>
    <w:basedOn w:val="Domylnaczcionkaakapitu"/>
    <w:link w:val="Cytatintensywny"/>
    <w:uiPriority w:val="30"/>
    <w:qFormat/>
    <w:rsid w:val="008E7E73"/>
    <w:rPr>
      <w:i/>
      <w:iCs/>
      <w:color w:val="2F5496" w:themeColor="accent1" w:themeShade="BF"/>
    </w:rPr>
  </w:style>
  <w:style w:type="character" w:styleId="Odwoanieintensywne">
    <w:name w:val="Intense Reference"/>
    <w:basedOn w:val="Domylnaczcionkaakapitu"/>
    <w:uiPriority w:val="32"/>
    <w:qFormat/>
    <w:rsid w:val="008E7E73"/>
    <w:rPr>
      <w:b/>
      <w:bCs/>
      <w:smallCaps/>
      <w:color w:val="2F5496" w:themeColor="accent1" w:themeShade="BF"/>
      <w:spacing w:val="5"/>
    </w:rPr>
  </w:style>
  <w:style w:type="character" w:styleId="Hipercze">
    <w:name w:val="Hyperlink"/>
    <w:basedOn w:val="Domylnaczcionkaakapitu"/>
    <w:uiPriority w:val="99"/>
    <w:unhideWhenUsed/>
    <w:rsid w:val="00F8632B"/>
    <w:rPr>
      <w:color w:val="0563C1" w:themeColor="hyperlink"/>
      <w:u w:val="single"/>
    </w:rPr>
  </w:style>
  <w:style w:type="character" w:customStyle="1" w:styleId="articletitle">
    <w:name w:val="articletitle"/>
    <w:basedOn w:val="Domylnaczcionkaakapitu"/>
    <w:qFormat/>
    <w:rsid w:val="00F8632B"/>
  </w:style>
  <w:style w:type="character" w:customStyle="1" w:styleId="Teksttreci">
    <w:name w:val="Tekst treści_"/>
    <w:basedOn w:val="Domylnaczcionkaakapitu"/>
    <w:link w:val="Teksttreci0"/>
    <w:qFormat/>
    <w:rsid w:val="007F1DBE"/>
    <w:rPr>
      <w:rFonts w:ascii="Arial" w:eastAsia="Arial" w:hAnsi="Arial" w:cs="Arial"/>
      <w:sz w:val="17"/>
      <w:szCs w:val="17"/>
      <w:shd w:val="clear" w:color="auto" w:fill="FFFFFF"/>
    </w:rPr>
  </w:style>
  <w:style w:type="character" w:customStyle="1" w:styleId="NagwekZnak">
    <w:name w:val="Nagłówek Znak"/>
    <w:basedOn w:val="Domylnaczcionkaakapitu"/>
    <w:link w:val="Nagwek"/>
    <w:uiPriority w:val="99"/>
    <w:qFormat/>
    <w:rsid w:val="002F7CD0"/>
  </w:style>
  <w:style w:type="character" w:customStyle="1" w:styleId="StopkaZnak">
    <w:name w:val="Stopka Znak"/>
    <w:basedOn w:val="Domylnaczcionkaakapitu"/>
    <w:link w:val="Stopka"/>
    <w:uiPriority w:val="99"/>
    <w:qFormat/>
    <w:rsid w:val="002F7CD0"/>
  </w:style>
  <w:style w:type="character" w:customStyle="1" w:styleId="TekstdymkaZnak">
    <w:name w:val="Tekst dymka Znak"/>
    <w:basedOn w:val="Domylnaczcionkaakapitu"/>
    <w:link w:val="Tekstdymka"/>
    <w:uiPriority w:val="99"/>
    <w:semiHidden/>
    <w:qFormat/>
    <w:rsid w:val="004F2169"/>
    <w:rPr>
      <w:rFonts w:ascii="Segoe UI" w:hAnsi="Segoe UI" w:cs="Segoe UI"/>
      <w:sz w:val="18"/>
      <w:szCs w:val="18"/>
    </w:rPr>
  </w:style>
  <w:style w:type="character" w:customStyle="1" w:styleId="Znakiprzypiswdolnychuser">
    <w:name w:val="Znaki przypisów dolnych (user)"/>
    <w:qFormat/>
    <w:rsid w:val="00BD5920"/>
  </w:style>
  <w:style w:type="character" w:customStyle="1" w:styleId="Znakiprzypiswdolnych">
    <w:name w:val="Znaki przypisów dolnych"/>
    <w:qFormat/>
    <w:rsid w:val="00BD5920"/>
    <w:rPr>
      <w:vertAlign w:val="superscript"/>
    </w:rPr>
  </w:style>
  <w:style w:type="character" w:styleId="Odwoanieprzypisudolnego">
    <w:name w:val="footnote reference"/>
    <w:rPr>
      <w:vertAlign w:val="superscript"/>
    </w:rPr>
  </w:style>
  <w:style w:type="paragraph" w:styleId="Nagwek">
    <w:name w:val="header"/>
    <w:basedOn w:val="Normalny"/>
    <w:next w:val="Tekstpodstawowy"/>
    <w:link w:val="NagwekZnak"/>
    <w:uiPriority w:val="99"/>
    <w:unhideWhenUsed/>
    <w:rsid w:val="002F7CD0"/>
    <w:pPr>
      <w:tabs>
        <w:tab w:val="center" w:pos="4536"/>
        <w:tab w:val="right" w:pos="9072"/>
      </w:tabs>
      <w:spacing w:after="0" w:line="240" w:lineRule="auto"/>
    </w:pPr>
  </w:style>
  <w:style w:type="paragraph" w:styleId="Tekstpodstawowy">
    <w:name w:val="Body Text"/>
    <w:basedOn w:val="Normalny"/>
    <w:rsid w:val="00BD5920"/>
    <w:pPr>
      <w:spacing w:after="140"/>
    </w:pPr>
  </w:style>
  <w:style w:type="paragraph" w:styleId="Lista">
    <w:name w:val="List"/>
    <w:basedOn w:val="Tekstpodstawowy"/>
    <w:rsid w:val="00BD5920"/>
    <w:rPr>
      <w:rFonts w:cs="Arial"/>
    </w:rPr>
  </w:style>
  <w:style w:type="paragraph" w:styleId="Legenda">
    <w:name w:val="caption"/>
    <w:basedOn w:val="Normalny"/>
    <w:qFormat/>
    <w:rsid w:val="00BD5920"/>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Indeksuser">
    <w:name w:val="Indeks (user)"/>
    <w:basedOn w:val="Normalny"/>
    <w:qFormat/>
    <w:rsid w:val="00BD5920"/>
    <w:pPr>
      <w:suppressLineNumbers/>
    </w:pPr>
    <w:rPr>
      <w:rFonts w:cs="Arial"/>
    </w:rPr>
  </w:style>
  <w:style w:type="paragraph" w:styleId="Tytu">
    <w:name w:val="Title"/>
    <w:basedOn w:val="Normalny"/>
    <w:next w:val="Normalny"/>
    <w:link w:val="TytuZnak"/>
    <w:uiPriority w:val="10"/>
    <w:qFormat/>
    <w:rsid w:val="008E7E73"/>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8E7E7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E7E73"/>
    <w:pPr>
      <w:spacing w:before="160"/>
      <w:jc w:val="center"/>
    </w:pPr>
    <w:rPr>
      <w:i/>
      <w:iCs/>
      <w:color w:val="404040" w:themeColor="text1" w:themeTint="BF"/>
    </w:rPr>
  </w:style>
  <w:style w:type="paragraph" w:styleId="Akapitzlist">
    <w:name w:val="List Paragraph"/>
    <w:basedOn w:val="Normalny"/>
    <w:uiPriority w:val="34"/>
    <w:qFormat/>
    <w:rsid w:val="008E7E73"/>
    <w:pPr>
      <w:ind w:left="720"/>
      <w:contextualSpacing/>
    </w:pPr>
  </w:style>
  <w:style w:type="paragraph" w:styleId="Cytatintensywny">
    <w:name w:val="Intense Quote"/>
    <w:basedOn w:val="Normalny"/>
    <w:next w:val="Normalny"/>
    <w:link w:val="CytatintensywnyZnak"/>
    <w:uiPriority w:val="30"/>
    <w:qFormat/>
    <w:rsid w:val="008E7E7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Default">
    <w:name w:val="Default"/>
    <w:qFormat/>
    <w:rsid w:val="00A47A9A"/>
    <w:rPr>
      <w:rFonts w:ascii="Times New Roman" w:eastAsia="Calibri" w:hAnsi="Times New Roman" w:cs="Times New Roman"/>
      <w:color w:val="000000"/>
      <w:kern w:val="0"/>
    </w:rPr>
  </w:style>
  <w:style w:type="paragraph" w:customStyle="1" w:styleId="Teksttreci0">
    <w:name w:val="Tekst treści"/>
    <w:basedOn w:val="Normalny"/>
    <w:link w:val="Teksttreci"/>
    <w:qFormat/>
    <w:rsid w:val="007F1DBE"/>
    <w:pPr>
      <w:widowControl w:val="0"/>
      <w:shd w:val="clear" w:color="auto" w:fill="FFFFFF"/>
      <w:spacing w:after="220" w:line="281" w:lineRule="auto"/>
      <w:ind w:firstLine="20"/>
      <w:jc w:val="both"/>
    </w:pPr>
    <w:rPr>
      <w:rFonts w:ascii="Arial" w:eastAsia="Arial" w:hAnsi="Arial" w:cs="Arial"/>
      <w:sz w:val="17"/>
      <w:szCs w:val="17"/>
    </w:rPr>
  </w:style>
  <w:style w:type="paragraph" w:styleId="Poprawka">
    <w:name w:val="Revision"/>
    <w:uiPriority w:val="99"/>
    <w:semiHidden/>
    <w:qFormat/>
    <w:rsid w:val="00A2469C"/>
  </w:style>
  <w:style w:type="paragraph" w:customStyle="1" w:styleId="Gwkaistopkauser">
    <w:name w:val="Główka i stopka (user)"/>
    <w:basedOn w:val="Normalny"/>
    <w:qFormat/>
    <w:rsid w:val="00BD5920"/>
  </w:style>
  <w:style w:type="paragraph" w:styleId="Stopka">
    <w:name w:val="footer"/>
    <w:basedOn w:val="Normalny"/>
    <w:link w:val="StopkaZnak"/>
    <w:uiPriority w:val="99"/>
    <w:unhideWhenUsed/>
    <w:rsid w:val="002F7CD0"/>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4F2169"/>
    <w:pPr>
      <w:spacing w:after="0" w:line="240" w:lineRule="auto"/>
    </w:pPr>
    <w:rPr>
      <w:rFonts w:ascii="Segoe UI" w:hAnsi="Segoe UI" w:cs="Segoe UI"/>
      <w:sz w:val="18"/>
      <w:szCs w:val="18"/>
    </w:rPr>
  </w:style>
  <w:style w:type="paragraph" w:styleId="Tekstprzypisudolnego">
    <w:name w:val="footnote text"/>
    <w:basedOn w:val="Normalny"/>
    <w:rsid w:val="00BD5920"/>
    <w:pPr>
      <w:suppressLineNumbers/>
      <w:ind w:left="340" w:hanging="34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67F3A-FDF2-4FA8-A154-284268CB4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2405</Words>
  <Characters>14436</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Zbiżek</dc:creator>
  <dc:description/>
  <cp:lastModifiedBy>Krzysztof Zbiżek</cp:lastModifiedBy>
  <cp:revision>5</cp:revision>
  <cp:lastPrinted>2025-07-03T13:31:00Z</cp:lastPrinted>
  <dcterms:created xsi:type="dcterms:W3CDTF">2025-07-04T08:02:00Z</dcterms:created>
  <dcterms:modified xsi:type="dcterms:W3CDTF">2025-07-04T08:06:00Z</dcterms:modified>
  <dc:language>pl-PL</dc:language>
</cp:coreProperties>
</file>